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C4" w:rsidRPr="00251B95" w:rsidRDefault="00D641C4" w:rsidP="00BE3616">
      <w:pPr>
        <w:rPr>
          <w:rFonts w:ascii="Arial" w:hAnsi="Arial" w:cs="Arial"/>
        </w:rPr>
      </w:pPr>
    </w:p>
    <w:p w:rsidR="00B146EC" w:rsidRPr="00251B95" w:rsidRDefault="00B146EC" w:rsidP="00BE3616">
      <w:pPr>
        <w:rPr>
          <w:rFonts w:ascii="Arial" w:hAnsi="Arial" w:cs="Arial"/>
        </w:rPr>
      </w:pPr>
    </w:p>
    <w:tbl>
      <w:tblPr>
        <w:tblW w:w="13752" w:type="dxa"/>
        <w:tblInd w:w="-792" w:type="dxa"/>
        <w:tblLook w:val="0000" w:firstRow="0" w:lastRow="0" w:firstColumn="0" w:lastColumn="0" w:noHBand="0" w:noVBand="0"/>
      </w:tblPr>
      <w:tblGrid>
        <w:gridCol w:w="13752"/>
      </w:tblGrid>
      <w:tr w:rsidR="00910335" w:rsidRPr="00251B95" w:rsidTr="00316205">
        <w:trPr>
          <w:trHeight w:val="1710"/>
        </w:trPr>
        <w:tc>
          <w:tcPr>
            <w:tcW w:w="1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875" w:rsidRPr="00251B95" w:rsidRDefault="00316205" w:rsidP="00BE3616">
            <w:pPr>
              <w:rPr>
                <w:rFonts w:ascii="Arial" w:hAnsi="Arial" w:cs="Arial"/>
                <w:b/>
                <w:bCs/>
              </w:rPr>
            </w:pPr>
            <w:r w:rsidRPr="00251B95">
              <w:rPr>
                <w:rFonts w:ascii="Arial" w:hAnsi="Arial" w:cs="Arial"/>
              </w:rPr>
              <w:br w:type="page"/>
            </w:r>
          </w:p>
          <w:p w:rsidR="006B32DA" w:rsidRPr="00251B95" w:rsidRDefault="00B146EC" w:rsidP="00667FC8">
            <w:pPr>
              <w:rPr>
                <w:rFonts w:ascii="Arial" w:hAnsi="Arial" w:cs="Arial"/>
                <w:b/>
                <w:bCs/>
              </w:rPr>
            </w:pPr>
            <w:r w:rsidRPr="00251B95">
              <w:rPr>
                <w:rFonts w:ascii="Arial" w:hAnsi="Arial" w:cs="Arial"/>
                <w:b/>
                <w:bCs/>
              </w:rPr>
              <w:t xml:space="preserve">Local Court Rules </w:t>
            </w:r>
            <w:r w:rsidR="00801E89" w:rsidRPr="00251B95">
              <w:rPr>
                <w:rFonts w:ascii="Arial" w:hAnsi="Arial" w:cs="Arial"/>
                <w:b/>
                <w:bCs/>
              </w:rPr>
              <w:t>–</w:t>
            </w:r>
            <w:r w:rsidRPr="00251B95">
              <w:rPr>
                <w:rFonts w:ascii="Arial" w:hAnsi="Arial" w:cs="Arial"/>
                <w:b/>
                <w:bCs/>
              </w:rPr>
              <w:t xml:space="preserve"> </w:t>
            </w:r>
            <w:r w:rsidR="003B7A77" w:rsidRPr="00251B95">
              <w:rPr>
                <w:rFonts w:ascii="Arial" w:hAnsi="Arial" w:cs="Arial"/>
                <w:b/>
                <w:bCs/>
              </w:rPr>
              <w:t>201</w:t>
            </w:r>
            <w:r w:rsidR="00667FC8" w:rsidRPr="00251B95">
              <w:rPr>
                <w:rFonts w:ascii="Arial" w:hAnsi="Arial" w:cs="Arial"/>
                <w:b/>
                <w:bCs/>
              </w:rPr>
              <w:t xml:space="preserve">8 </w:t>
            </w:r>
            <w:r w:rsidR="00104F76" w:rsidRPr="00251B95">
              <w:rPr>
                <w:rFonts w:ascii="Arial" w:hAnsi="Arial" w:cs="Arial"/>
                <w:b/>
                <w:bCs/>
              </w:rPr>
              <w:t>–</w:t>
            </w:r>
            <w:r w:rsidR="00667FC8" w:rsidRPr="00251B95">
              <w:rPr>
                <w:rFonts w:ascii="Arial" w:hAnsi="Arial" w:cs="Arial"/>
                <w:b/>
                <w:bCs/>
              </w:rPr>
              <w:t xml:space="preserve"> Proposals</w:t>
            </w:r>
            <w:r w:rsidR="00104F76" w:rsidRPr="00251B95">
              <w:rPr>
                <w:rFonts w:ascii="Arial" w:hAnsi="Arial" w:cs="Arial"/>
                <w:b/>
                <w:bCs/>
              </w:rPr>
              <w:t xml:space="preserve"> for </w:t>
            </w:r>
            <w:r w:rsidR="00F57363">
              <w:rPr>
                <w:rFonts w:ascii="Arial" w:hAnsi="Arial" w:cs="Arial"/>
                <w:b/>
                <w:bCs/>
              </w:rPr>
              <w:t xml:space="preserve">Public Comment </w:t>
            </w:r>
          </w:p>
          <w:p w:rsidR="00855CCC" w:rsidRPr="00251B95" w:rsidRDefault="00855CCC" w:rsidP="00BE3616">
            <w:pPr>
              <w:rPr>
                <w:rFonts w:ascii="Arial" w:hAnsi="Arial" w:cs="Arial"/>
                <w:b/>
                <w:bCs/>
              </w:rPr>
            </w:pPr>
          </w:p>
          <w:p w:rsidR="006146A4" w:rsidRPr="00251B95" w:rsidRDefault="006146A4" w:rsidP="00BE3616">
            <w:pPr>
              <w:rPr>
                <w:rFonts w:ascii="Arial" w:hAnsi="Arial" w:cs="Arial"/>
                <w:bCs/>
                <w:i/>
              </w:rPr>
            </w:pPr>
            <w:r w:rsidRPr="00251B95">
              <w:rPr>
                <w:rFonts w:ascii="Arial" w:hAnsi="Arial" w:cs="Arial"/>
                <w:bCs/>
                <w:i/>
              </w:rPr>
              <w:t xml:space="preserve">Last updated </w:t>
            </w:r>
            <w:r w:rsidR="00F57363">
              <w:rPr>
                <w:rFonts w:ascii="Arial" w:hAnsi="Arial" w:cs="Arial"/>
                <w:bCs/>
                <w:i/>
              </w:rPr>
              <w:t>6/4</w:t>
            </w:r>
            <w:r w:rsidR="00892766" w:rsidRPr="00251B95">
              <w:rPr>
                <w:rFonts w:ascii="Arial" w:hAnsi="Arial" w:cs="Arial"/>
                <w:bCs/>
                <w:i/>
              </w:rPr>
              <w:t>/</w:t>
            </w:r>
            <w:r w:rsidR="00725747" w:rsidRPr="00251B95">
              <w:rPr>
                <w:rFonts w:ascii="Arial" w:hAnsi="Arial" w:cs="Arial"/>
                <w:bCs/>
                <w:i/>
              </w:rPr>
              <w:t>18</w:t>
            </w:r>
            <w:r w:rsidR="009372E5" w:rsidRPr="00251B95">
              <w:rPr>
                <w:rFonts w:ascii="Arial" w:hAnsi="Arial" w:cs="Arial"/>
                <w:bCs/>
                <w:i/>
              </w:rPr>
              <w:t xml:space="preserve"> </w:t>
            </w:r>
            <w:r w:rsidRPr="00251B95">
              <w:rPr>
                <w:rFonts w:ascii="Arial" w:hAnsi="Arial" w:cs="Arial"/>
                <w:bCs/>
                <w:i/>
              </w:rPr>
              <w:t xml:space="preserve">by </w:t>
            </w:r>
            <w:proofErr w:type="spellStart"/>
            <w:r w:rsidR="00104F76" w:rsidRPr="00251B95">
              <w:rPr>
                <w:rFonts w:ascii="Arial" w:hAnsi="Arial" w:cs="Arial"/>
                <w:bCs/>
                <w:i/>
              </w:rPr>
              <w:t>rdz</w:t>
            </w:r>
            <w:proofErr w:type="spellEnd"/>
            <w:r w:rsidR="00104F76" w:rsidRPr="00251B95">
              <w:rPr>
                <w:rFonts w:ascii="Arial" w:hAnsi="Arial" w:cs="Arial"/>
                <w:bCs/>
                <w:i/>
              </w:rPr>
              <w:t>.</w:t>
            </w:r>
          </w:p>
          <w:p w:rsidR="00367071" w:rsidRPr="00251B95" w:rsidRDefault="00367071" w:rsidP="00BE3616">
            <w:pPr>
              <w:rPr>
                <w:rFonts w:ascii="Arial" w:hAnsi="Arial" w:cs="Arial"/>
                <w:b/>
                <w:bCs/>
                <w:i/>
              </w:rPr>
            </w:pPr>
          </w:p>
          <w:tbl>
            <w:tblPr>
              <w:tblW w:w="13536" w:type="dxa"/>
              <w:tblLook w:val="0000" w:firstRow="0" w:lastRow="0" w:firstColumn="0" w:lastColumn="0" w:noHBand="0" w:noVBand="0"/>
            </w:tblPr>
            <w:tblGrid>
              <w:gridCol w:w="10"/>
              <w:gridCol w:w="1836"/>
              <w:gridCol w:w="35"/>
              <w:gridCol w:w="1683"/>
              <w:gridCol w:w="9962"/>
              <w:gridCol w:w="10"/>
            </w:tblGrid>
            <w:tr w:rsidR="000465E4" w:rsidRPr="00251B95" w:rsidTr="00E4754F">
              <w:trPr>
                <w:gridAfter w:val="1"/>
                <w:wAfter w:w="10" w:type="dxa"/>
                <w:trHeight w:val="475"/>
              </w:trPr>
              <w:tc>
                <w:tcPr>
                  <w:tcW w:w="1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5E4" w:rsidRPr="00251B95" w:rsidRDefault="000465E4" w:rsidP="00BE361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1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5E4" w:rsidRPr="00251B95" w:rsidRDefault="000465E4" w:rsidP="00BE3616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0465E4" w:rsidRPr="00251B95" w:rsidTr="00F57363">
              <w:trPr>
                <w:gridAfter w:val="1"/>
                <w:wAfter w:w="10" w:type="dxa"/>
                <w:trHeight w:val="254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0465E4" w:rsidRPr="00251B95" w:rsidRDefault="000465E4" w:rsidP="00BE361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51B95">
                    <w:rPr>
                      <w:rFonts w:ascii="Arial" w:hAnsi="Arial" w:cs="Arial"/>
                      <w:b/>
                      <w:bCs/>
                    </w:rPr>
                    <w:t>TITLE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0465E4" w:rsidRPr="00251B95" w:rsidRDefault="000465E4" w:rsidP="00BE361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51B95">
                    <w:rPr>
                      <w:rFonts w:ascii="Arial" w:hAnsi="Arial" w:cs="Arial"/>
                      <w:b/>
                      <w:bCs/>
                    </w:rPr>
                    <w:t>Status</w:t>
                  </w: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0465E4" w:rsidRPr="00251B95" w:rsidRDefault="000465E4" w:rsidP="00BE3616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51B95">
                    <w:rPr>
                      <w:rFonts w:ascii="Arial" w:hAnsi="Arial" w:cs="Arial"/>
                      <w:b/>
                      <w:bCs/>
                    </w:rPr>
                    <w:t>NOTE</w:t>
                  </w:r>
                </w:p>
              </w:tc>
            </w:tr>
            <w:tr w:rsidR="00206393" w:rsidRPr="00251B95" w:rsidTr="00E4754F">
              <w:trPr>
                <w:gridAfter w:val="1"/>
                <w:wAfter w:w="10" w:type="dxa"/>
                <w:trHeight w:val="384"/>
              </w:trPr>
              <w:tc>
                <w:tcPr>
                  <w:tcW w:w="135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BB59" w:themeFill="accent3"/>
                  <w:noWrap/>
                </w:tcPr>
                <w:p w:rsidR="00206393" w:rsidRPr="00251B95" w:rsidRDefault="00206393" w:rsidP="00793AE3">
                  <w:p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  <w:b/>
                    </w:rPr>
                    <w:t>General Rules</w:t>
                  </w:r>
                </w:p>
              </w:tc>
            </w:tr>
            <w:tr w:rsidR="000465E4" w:rsidRPr="00251B95" w:rsidTr="00B87E30">
              <w:trPr>
                <w:gridAfter w:val="1"/>
                <w:wAfter w:w="10" w:type="dxa"/>
                <w:trHeight w:val="384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465E4" w:rsidRPr="00251B95" w:rsidRDefault="000465E4" w:rsidP="0029085E">
                  <w:p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>LGR 30</w:t>
                  </w:r>
                </w:p>
                <w:p w:rsidR="000465E4" w:rsidRPr="00251B95" w:rsidRDefault="000465E4" w:rsidP="0029085E">
                  <w:pPr>
                    <w:rPr>
                      <w:rFonts w:ascii="Arial" w:hAnsi="Arial" w:cs="Arial"/>
                    </w:rPr>
                  </w:pPr>
                </w:p>
                <w:p w:rsidR="000465E4" w:rsidRPr="00251B95" w:rsidRDefault="000465E4" w:rsidP="000465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465E4" w:rsidRPr="00251B95" w:rsidRDefault="000465E4" w:rsidP="000465E4">
                  <w:pPr>
                    <w:rPr>
                      <w:rFonts w:ascii="Arial" w:hAnsi="Arial" w:cs="Arial"/>
                    </w:rPr>
                  </w:pPr>
                </w:p>
                <w:p w:rsidR="000465E4" w:rsidRPr="00251B95" w:rsidRDefault="000465E4" w:rsidP="004A141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74671" w:rsidRPr="00251B95" w:rsidRDefault="00674671" w:rsidP="00C36C0A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360"/>
                    </w:tabs>
                    <w:ind w:left="720" w:hanging="720"/>
                    <w:contextualSpacing/>
                    <w:rPr>
                      <w:rFonts w:ascii="Arial" w:hAnsi="Arial" w:cs="Arial"/>
                    </w:rPr>
                  </w:pPr>
                  <w:r w:rsidRPr="00F57363">
                    <w:rPr>
                      <w:rFonts w:ascii="Arial" w:hAnsi="Arial" w:cs="Arial"/>
                    </w:rPr>
                    <w:t>Allow e-filing in aggravated murder cases</w:t>
                  </w:r>
                  <w:r w:rsidR="00F57363">
                    <w:rPr>
                      <w:rFonts w:ascii="Arial" w:hAnsi="Arial" w:cs="Arial"/>
                    </w:rPr>
                    <w:t>.</w:t>
                  </w:r>
                </w:p>
                <w:p w:rsidR="00674671" w:rsidRPr="00251B95" w:rsidRDefault="00674671" w:rsidP="00C36C0A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360"/>
                    </w:tabs>
                    <w:ind w:left="720" w:hanging="720"/>
                    <w:contextualSpacing/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 xml:space="preserve">Change rule for after-hours and weekend e-filing.  </w:t>
                  </w:r>
                </w:p>
                <w:p w:rsidR="00674671" w:rsidRPr="00251B95" w:rsidRDefault="00674671" w:rsidP="00C36C0A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360"/>
                    </w:tabs>
                    <w:ind w:left="720" w:hanging="720"/>
                    <w:contextualSpacing/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 xml:space="preserve">Faulty document policy was rescinded.  </w:t>
                  </w:r>
                </w:p>
                <w:p w:rsidR="00674671" w:rsidRPr="00251B95" w:rsidRDefault="00674671" w:rsidP="00C36C0A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360"/>
                    </w:tabs>
                    <w:ind w:left="720" w:hanging="720"/>
                    <w:contextualSpacing/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>Need to make clear what notice must be given if the clerk rejects a document that was filed electronically.</w:t>
                  </w:r>
                </w:p>
                <w:p w:rsidR="000465E4" w:rsidRPr="00251B95" w:rsidRDefault="000465E4" w:rsidP="00104F76">
                  <w:pPr>
                    <w:tabs>
                      <w:tab w:val="left" w:pos="360"/>
                    </w:tabs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0465E4" w:rsidRPr="00251B95" w:rsidTr="00B87E30">
              <w:trPr>
                <w:gridAfter w:val="1"/>
                <w:wAfter w:w="10" w:type="dxa"/>
                <w:trHeight w:val="384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465E4" w:rsidRPr="00251B95" w:rsidRDefault="000465E4" w:rsidP="00854B93">
                  <w:p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>LGR 33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1312C" w:rsidRPr="00251B95" w:rsidRDefault="00F1312C" w:rsidP="00F57363">
                  <w:pPr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8C126F" w:rsidRPr="00F57363" w:rsidRDefault="008C126F" w:rsidP="008C126F">
                  <w:pPr>
                    <w:pStyle w:val="ListParagraph"/>
                    <w:widowControl w:val="0"/>
                    <w:numPr>
                      <w:ilvl w:val="0"/>
                      <w:numId w:val="2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640"/>
                      <w:tab w:val="left" w:pos="9360"/>
                    </w:tabs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F57363">
                    <w:rPr>
                      <w:rFonts w:ascii="Arial" w:hAnsi="Arial" w:cs="Arial"/>
                    </w:rPr>
                    <w:t xml:space="preserve">Incorporate court protocol into LCR. </w:t>
                  </w:r>
                </w:p>
                <w:p w:rsidR="008C126F" w:rsidRPr="00F57363" w:rsidRDefault="008C126F" w:rsidP="008C126F">
                  <w:pPr>
                    <w:pStyle w:val="ListParagraph"/>
                    <w:widowControl w:val="0"/>
                    <w:numPr>
                      <w:ilvl w:val="0"/>
                      <w:numId w:val="2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640"/>
                      <w:tab w:val="left" w:pos="9360"/>
                    </w:tabs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F57363">
                    <w:rPr>
                      <w:rFonts w:ascii="Arial" w:hAnsi="Arial" w:cs="Arial"/>
                    </w:rPr>
                    <w:t xml:space="preserve">Update protocol to reflect current practice. </w:t>
                  </w:r>
                </w:p>
                <w:p w:rsidR="000465E4" w:rsidRPr="00251B95" w:rsidRDefault="000465E4" w:rsidP="00854B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465E4" w:rsidRPr="00251B95" w:rsidTr="00F57363">
              <w:trPr>
                <w:gridAfter w:val="1"/>
                <w:wAfter w:w="10" w:type="dxa"/>
                <w:trHeight w:val="384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5E4" w:rsidRPr="00251B95" w:rsidRDefault="000465E4" w:rsidP="00854B9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5E4" w:rsidRPr="00251B95" w:rsidRDefault="000465E4" w:rsidP="00854B9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5E4" w:rsidRPr="00251B95" w:rsidRDefault="000465E4" w:rsidP="00854B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465E4" w:rsidRPr="00251B95" w:rsidTr="00F57363">
              <w:trPr>
                <w:gridAfter w:val="1"/>
                <w:wAfter w:w="10" w:type="dxa"/>
                <w:trHeight w:val="265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BB59" w:themeFill="accent3"/>
                  <w:noWrap/>
                </w:tcPr>
                <w:p w:rsidR="000465E4" w:rsidRPr="00251B95" w:rsidRDefault="000465E4" w:rsidP="00854B93">
                  <w:pPr>
                    <w:rPr>
                      <w:rFonts w:ascii="Arial" w:hAnsi="Arial" w:cs="Arial"/>
                      <w:b/>
                    </w:rPr>
                  </w:pPr>
                  <w:r w:rsidRPr="00251B95">
                    <w:rPr>
                      <w:rFonts w:ascii="Arial" w:hAnsi="Arial" w:cs="Arial"/>
                      <w:b/>
                    </w:rPr>
                    <w:t>Civil Rules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BB59" w:themeFill="accent3"/>
                </w:tcPr>
                <w:p w:rsidR="000465E4" w:rsidRPr="00251B95" w:rsidRDefault="000465E4" w:rsidP="00854B93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BB59" w:themeFill="accent3"/>
                  <w:noWrap/>
                </w:tcPr>
                <w:p w:rsidR="000465E4" w:rsidRPr="00251B95" w:rsidRDefault="000465E4" w:rsidP="00854B9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465E4" w:rsidRPr="00251B95" w:rsidTr="00B87E30">
              <w:trPr>
                <w:gridAfter w:val="1"/>
                <w:wAfter w:w="10" w:type="dxa"/>
                <w:trHeight w:val="265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465E4" w:rsidRPr="00251B95" w:rsidRDefault="000465E4" w:rsidP="006121B1">
                  <w:p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>LCR 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465E4" w:rsidRPr="00251B95" w:rsidRDefault="000465E4" w:rsidP="006E39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E394F" w:rsidRPr="00251B95" w:rsidRDefault="006E394F" w:rsidP="00C36C0A">
                  <w:pPr>
                    <w:pStyle w:val="ListParagraph"/>
                    <w:widowControl w:val="0"/>
                    <w:numPr>
                      <w:ilvl w:val="0"/>
                      <w:numId w:val="23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640"/>
                      <w:tab w:val="left" w:pos="9360"/>
                    </w:tabs>
                    <w:ind w:left="720" w:hanging="684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  <w:r w:rsidRPr="00251B95">
                    <w:rPr>
                      <w:rFonts w:ascii="Arial" w:hAnsi="Arial" w:cs="Arial"/>
                      <w:color w:val="000000" w:themeColor="text1"/>
                    </w:rPr>
                    <w:t>Implement as a permanent rule the emergency changes made 1/1/18.</w:t>
                  </w:r>
                </w:p>
                <w:p w:rsidR="00C36C0A" w:rsidRPr="00251B95" w:rsidRDefault="006E394F" w:rsidP="00C36C0A">
                  <w:pPr>
                    <w:pStyle w:val="ListParagraph"/>
                    <w:widowControl w:val="0"/>
                    <w:numPr>
                      <w:ilvl w:val="0"/>
                      <w:numId w:val="23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640"/>
                      <w:tab w:val="left" w:pos="9360"/>
                    </w:tabs>
                    <w:ind w:left="720" w:hanging="684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  <w:r w:rsidRPr="00251B95">
                    <w:rPr>
                      <w:rFonts w:ascii="Arial" w:hAnsi="Arial" w:cs="Arial"/>
                      <w:color w:val="000000" w:themeColor="text1"/>
                    </w:rPr>
                    <w:t xml:space="preserve">Do not assign a trial setting date to minor settlements.  </w:t>
                  </w:r>
                </w:p>
                <w:p w:rsidR="006E394F" w:rsidRPr="00251B95" w:rsidRDefault="006E394F" w:rsidP="00C36C0A">
                  <w:pPr>
                    <w:pStyle w:val="ListParagraph"/>
                    <w:widowControl w:val="0"/>
                    <w:numPr>
                      <w:ilvl w:val="0"/>
                      <w:numId w:val="23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396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640"/>
                      <w:tab w:val="left" w:pos="9360"/>
                    </w:tabs>
                    <w:ind w:left="396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  <w:r w:rsidRPr="00251B95">
                    <w:rPr>
                      <w:rFonts w:ascii="Arial" w:hAnsi="Arial" w:cs="Arial"/>
                      <w:color w:val="000000" w:themeColor="text1"/>
                    </w:rPr>
                    <w:t xml:space="preserve">Clarify that PRA cases do get a trial setting date, but it is a different process under LCR 16.  </w:t>
                  </w:r>
                </w:p>
                <w:p w:rsidR="006E394F" w:rsidRPr="00251B95" w:rsidRDefault="006E394F" w:rsidP="00C36C0A">
                  <w:pPr>
                    <w:pStyle w:val="ListParagraph"/>
                    <w:numPr>
                      <w:ilvl w:val="0"/>
                      <w:numId w:val="23"/>
                    </w:numPr>
                    <w:ind w:left="396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  <w:r w:rsidRPr="00635E27">
                    <w:rPr>
                      <w:rFonts w:ascii="Arial" w:hAnsi="Arial" w:cs="Arial"/>
                      <w:color w:val="000000" w:themeColor="text1"/>
                    </w:rPr>
                    <w:t>Instead of automatic scheduling date in RALJ cases, require petitioner to note it</w:t>
                  </w:r>
                  <w:r w:rsidRPr="00251B95">
                    <w:rPr>
                      <w:rFonts w:ascii="Arial" w:hAnsi="Arial" w:cs="Arial"/>
                      <w:color w:val="000000" w:themeColor="text1"/>
                    </w:rPr>
                    <w:t xml:space="preserve"> (following LCR 40 and instructions in </w:t>
                  </w:r>
                  <w:r w:rsidRPr="00E07AFE">
                    <w:rPr>
                      <w:rFonts w:ascii="Arial" w:hAnsi="Arial" w:cs="Arial"/>
                      <w:color w:val="000000" w:themeColor="text1"/>
                    </w:rPr>
                    <w:t>the RALJ notice of assignment</w:t>
                  </w:r>
                  <w:r w:rsidRPr="00251B95">
                    <w:rPr>
                      <w:rFonts w:ascii="Arial" w:hAnsi="Arial" w:cs="Arial"/>
                      <w:color w:val="000000" w:themeColor="text1"/>
                    </w:rPr>
                    <w:t xml:space="preserve">).  Make specific RALJ notice of assignment, with applicable rules, and still require petitioner to serve it.  </w:t>
                  </w:r>
                </w:p>
                <w:p w:rsidR="00E54940" w:rsidRPr="00251B95" w:rsidRDefault="00E54940" w:rsidP="006121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62A80" w:rsidRPr="00251B95" w:rsidTr="00B87E30">
              <w:trPr>
                <w:gridAfter w:val="1"/>
                <w:wAfter w:w="10" w:type="dxa"/>
                <w:trHeight w:val="265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62A80" w:rsidRPr="00251B95" w:rsidRDefault="00062A80" w:rsidP="006121B1">
                  <w:pPr>
                    <w:rPr>
                      <w:rFonts w:ascii="Arial" w:hAnsi="Arial" w:cs="Arial"/>
                    </w:rPr>
                  </w:pPr>
                  <w:r w:rsidRPr="00A5322E">
                    <w:rPr>
                      <w:rFonts w:ascii="Arial" w:hAnsi="Arial" w:cs="Arial"/>
                    </w:rPr>
                    <w:t>LCR 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62A80" w:rsidRPr="00251B95" w:rsidRDefault="00062A80" w:rsidP="008C126F">
                  <w:pPr>
                    <w:rPr>
                      <w:rFonts w:ascii="Arial" w:hAnsi="Arial" w:cs="Arial"/>
                    </w:rPr>
                  </w:pPr>
                </w:p>
                <w:p w:rsidR="00062A80" w:rsidRPr="00251B95" w:rsidRDefault="00062A80" w:rsidP="008C126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2066F" w:rsidRPr="00251B95" w:rsidRDefault="0092066F" w:rsidP="00C36C0A">
                  <w:pPr>
                    <w:pStyle w:val="ListParagraph"/>
                    <w:numPr>
                      <w:ilvl w:val="0"/>
                      <w:numId w:val="30"/>
                    </w:numPr>
                    <w:ind w:left="396"/>
                    <w:contextualSpacing/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 xml:space="preserve">Make 6-day motions due at 5 p.m. instead of noon.  </w:t>
                  </w:r>
                </w:p>
                <w:p w:rsidR="0092066F" w:rsidRPr="00A5322E" w:rsidRDefault="0092066F" w:rsidP="00A5322E">
                  <w:pPr>
                    <w:pStyle w:val="ListParagraph"/>
                    <w:numPr>
                      <w:ilvl w:val="0"/>
                      <w:numId w:val="30"/>
                    </w:numPr>
                    <w:ind w:left="432" w:hanging="396"/>
                    <w:contextualSpacing/>
                    <w:rPr>
                      <w:rFonts w:ascii="Arial" w:hAnsi="Arial" w:cs="Arial"/>
                    </w:rPr>
                  </w:pPr>
                  <w:r w:rsidRPr="00A5322E">
                    <w:rPr>
                      <w:rFonts w:ascii="Arial" w:hAnsi="Arial" w:cs="Arial"/>
                    </w:rPr>
                    <w:t xml:space="preserve">Specify that a party cannot file a “placeholder” dispositive motion to schedule the matter, then file the brief and supporting materials later.  Everything is due at the same time. </w:t>
                  </w:r>
                </w:p>
                <w:p w:rsidR="00062A80" w:rsidRDefault="00062A80" w:rsidP="00A5322E">
                  <w:pPr>
                    <w:pStyle w:val="ListParagraph"/>
                    <w:ind w:left="486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067B1C" w:rsidRDefault="00067B1C" w:rsidP="00A5322E">
                  <w:pPr>
                    <w:pStyle w:val="ListParagraph"/>
                    <w:ind w:left="486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067B1C" w:rsidRDefault="00067B1C" w:rsidP="00A5322E">
                  <w:pPr>
                    <w:pStyle w:val="ListParagraph"/>
                    <w:ind w:left="486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067B1C" w:rsidRPr="00251B95" w:rsidRDefault="00067B1C" w:rsidP="00A5322E">
                  <w:pPr>
                    <w:pStyle w:val="ListParagraph"/>
                    <w:ind w:left="486"/>
                    <w:contextualSpacing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0465E4" w:rsidRPr="00251B95" w:rsidTr="00B87E30">
              <w:trPr>
                <w:gridAfter w:val="1"/>
                <w:wAfter w:w="10" w:type="dxa"/>
                <w:trHeight w:val="265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465E4" w:rsidRPr="00B55D95" w:rsidRDefault="000465E4" w:rsidP="006121B1">
                  <w:pPr>
                    <w:rPr>
                      <w:rFonts w:ascii="Arial" w:hAnsi="Arial" w:cs="Arial"/>
                    </w:rPr>
                  </w:pPr>
                  <w:r w:rsidRPr="00B55D95">
                    <w:rPr>
                      <w:rFonts w:ascii="Arial" w:hAnsi="Arial" w:cs="Arial"/>
                    </w:rPr>
                    <w:lastRenderedPageBreak/>
                    <w:t xml:space="preserve">LCR 7 </w:t>
                  </w:r>
                </w:p>
                <w:p w:rsidR="000465E4" w:rsidRPr="00251B95" w:rsidRDefault="000465E4" w:rsidP="006121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73BE" w:rsidRPr="00251B95" w:rsidRDefault="002673BE" w:rsidP="00B55D9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14527" w:rsidRPr="00251B95" w:rsidRDefault="00B55D95" w:rsidP="00C36C0A">
                  <w:pPr>
                    <w:pStyle w:val="ListParagraph"/>
                    <w:numPr>
                      <w:ilvl w:val="0"/>
                      <w:numId w:val="33"/>
                    </w:numPr>
                    <w:ind w:left="666" w:hanging="594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(b)(1)</w:t>
                  </w:r>
                  <w:r w:rsidR="00067B1C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 xml:space="preserve"> Do not allow runners on the ex parte calendars at main campus.</w:t>
                  </w:r>
                </w:p>
                <w:p w:rsidR="00514527" w:rsidRPr="00251B95" w:rsidRDefault="00514527" w:rsidP="00C36C0A">
                  <w:pPr>
                    <w:pStyle w:val="ListParagraph"/>
                    <w:numPr>
                      <w:ilvl w:val="0"/>
                      <w:numId w:val="33"/>
                    </w:numPr>
                    <w:ind w:left="666" w:hanging="594"/>
                    <w:contextualSpacing/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 xml:space="preserve">(b)(5):  Update with two criminal miscellaneous calendars.  </w:t>
                  </w:r>
                </w:p>
                <w:p w:rsidR="00514527" w:rsidRPr="00251B95" w:rsidRDefault="00067B1C" w:rsidP="00C36C0A">
                  <w:pPr>
                    <w:pStyle w:val="ListParagraph"/>
                    <w:numPr>
                      <w:ilvl w:val="0"/>
                      <w:numId w:val="33"/>
                    </w:numPr>
                    <w:ind w:left="666" w:hanging="594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(b)(7):</w:t>
                  </w:r>
                  <w:r>
                    <w:rPr>
                      <w:rFonts w:ascii="Arial" w:hAnsi="Arial" w:cs="Arial"/>
                    </w:rPr>
                    <w:tab/>
                    <w:t xml:space="preserve"> Clarify that the attorney</w:t>
                  </w:r>
                  <w:r w:rsidR="00514527" w:rsidRPr="00251B95">
                    <w:rPr>
                      <w:rFonts w:ascii="Arial" w:hAnsi="Arial" w:cs="Arial"/>
                    </w:rPr>
                    <w:t xml:space="preserve"> must file bench copies of notices to strike/continue, not the Clerk. </w:t>
                  </w:r>
                </w:p>
                <w:p w:rsidR="00514527" w:rsidRDefault="00514527" w:rsidP="00C36C0A">
                  <w:pPr>
                    <w:pStyle w:val="ListParagraph"/>
                    <w:numPr>
                      <w:ilvl w:val="0"/>
                      <w:numId w:val="33"/>
                    </w:numPr>
                    <w:ind w:left="666" w:hanging="594"/>
                    <w:contextualSpacing/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 xml:space="preserve">(b)(9):  </w:t>
                  </w:r>
                  <w:r w:rsidR="00B55D95" w:rsidRPr="00B55D95">
                    <w:rPr>
                      <w:rFonts w:ascii="Arial" w:hAnsi="Arial" w:cs="Arial"/>
                    </w:rPr>
                    <w:t>Clarify the judge’s discretion regarding the time for oral argument.</w:t>
                  </w:r>
                </w:p>
                <w:p w:rsidR="00067B1C" w:rsidRPr="00251B95" w:rsidRDefault="00067B1C" w:rsidP="00C36C0A">
                  <w:pPr>
                    <w:pStyle w:val="ListParagraph"/>
                    <w:numPr>
                      <w:ilvl w:val="0"/>
                      <w:numId w:val="33"/>
                    </w:numPr>
                    <w:ind w:left="666" w:hanging="594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(f):  Require notice of the Housing Justice Project legal aid clinic when a plaintiff serves the summons and complaint.</w:t>
                  </w:r>
                </w:p>
                <w:p w:rsidR="00062148" w:rsidRPr="00E54940" w:rsidRDefault="00514527" w:rsidP="00062148">
                  <w:pPr>
                    <w:pStyle w:val="ListParagraph"/>
                    <w:numPr>
                      <w:ilvl w:val="0"/>
                      <w:numId w:val="33"/>
                    </w:numPr>
                    <w:ind w:left="666" w:hanging="594"/>
                    <w:contextualSpacing/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 xml:space="preserve">Remove commentary about confirmations.  Those were </w:t>
                  </w:r>
                  <w:r w:rsidR="00B55D95">
                    <w:rPr>
                      <w:rFonts w:ascii="Arial" w:hAnsi="Arial" w:cs="Arial"/>
                    </w:rPr>
                    <w:t>eliminated several years ago.</w:t>
                  </w:r>
                </w:p>
                <w:p w:rsidR="000465E4" w:rsidRPr="00251B95" w:rsidRDefault="000465E4" w:rsidP="006121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465E4" w:rsidRPr="00251B95" w:rsidTr="00B87E30">
              <w:trPr>
                <w:gridAfter w:val="1"/>
                <w:wAfter w:w="10" w:type="dxa"/>
                <w:trHeight w:val="265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465E4" w:rsidRPr="00251B95" w:rsidRDefault="000465E4" w:rsidP="006121B1">
                  <w:p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 xml:space="preserve">LCR 16 </w:t>
                  </w:r>
                </w:p>
                <w:p w:rsidR="000465E4" w:rsidRPr="00251B95" w:rsidRDefault="000465E4" w:rsidP="00851A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465E4" w:rsidRPr="00251B95" w:rsidRDefault="000465E4" w:rsidP="006121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15EB" w:rsidRPr="00251B95" w:rsidRDefault="003B15EB" w:rsidP="003B15EB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640"/>
                      <w:tab w:val="left" w:pos="9360"/>
                    </w:tabs>
                    <w:contextualSpacing/>
                    <w:rPr>
                      <w:rFonts w:ascii="Arial" w:hAnsi="Arial" w:cs="Arial"/>
                      <w:bCs/>
                      <w:noProof/>
                      <w:color w:val="000000" w:themeColor="text1"/>
                    </w:rPr>
                  </w:pPr>
                  <w:r w:rsidRPr="00251B95">
                    <w:rPr>
                      <w:rFonts w:ascii="Arial" w:hAnsi="Arial" w:cs="Arial"/>
                      <w:bCs/>
                      <w:noProof/>
                      <w:color w:val="000000" w:themeColor="text1"/>
                    </w:rPr>
                    <w:t xml:space="preserve">Allow flexibility of scheduling the status hearing on the next available calendar. </w:t>
                  </w:r>
                </w:p>
                <w:p w:rsidR="000465E4" w:rsidRPr="00251B95" w:rsidRDefault="000465E4" w:rsidP="006121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F0708" w:rsidRPr="00251B95" w:rsidTr="00B87E30">
              <w:trPr>
                <w:gridAfter w:val="1"/>
                <w:wAfter w:w="10" w:type="dxa"/>
                <w:trHeight w:val="265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F0708" w:rsidRPr="00251B95" w:rsidRDefault="000F0708" w:rsidP="006121B1">
                  <w:p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>LCR 38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F0708" w:rsidRPr="00251B95" w:rsidRDefault="000F0708" w:rsidP="006121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F0708" w:rsidRPr="00422394" w:rsidRDefault="00497EAA" w:rsidP="00422394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640"/>
                      <w:tab w:val="left" w:pos="9360"/>
                    </w:tabs>
                    <w:contextualSpacing/>
                    <w:rPr>
                      <w:rFonts w:ascii="Arial" w:hAnsi="Arial" w:cs="Arial"/>
                      <w:bCs/>
                      <w:noProof/>
                      <w:color w:val="000000" w:themeColor="text1"/>
                    </w:rPr>
                  </w:pPr>
                  <w:r w:rsidRPr="00422394">
                    <w:rPr>
                      <w:rFonts w:ascii="Arial" w:hAnsi="Arial" w:cs="Arial"/>
                      <w:bCs/>
                      <w:noProof/>
                      <w:color w:val="000000" w:themeColor="text1"/>
                    </w:rPr>
                    <w:t xml:space="preserve">Specify that jury demands are due </w:t>
                  </w:r>
                  <w:r w:rsidR="00251B95" w:rsidRPr="00422394">
                    <w:rPr>
                      <w:rFonts w:ascii="Arial" w:hAnsi="Arial" w:cs="Arial"/>
                      <w:bCs/>
                      <w:noProof/>
                      <w:color w:val="000000" w:themeColor="text1"/>
                    </w:rPr>
                    <w:t>by</w:t>
                  </w:r>
                  <w:r w:rsidRPr="00422394">
                    <w:rPr>
                      <w:rFonts w:ascii="Arial" w:hAnsi="Arial" w:cs="Arial"/>
                      <w:bCs/>
                      <w:noProof/>
                      <w:color w:val="000000" w:themeColor="text1"/>
                    </w:rPr>
                    <w:t xml:space="preserve"> the trial scheduling date.  This is consistent with CR 38(b), but has not been practiced in our County and it leads to trials being set and then rescheduled.  </w:t>
                  </w:r>
                </w:p>
              </w:tc>
            </w:tr>
            <w:tr w:rsidR="000465E4" w:rsidRPr="00251B95" w:rsidTr="00B87E30">
              <w:trPr>
                <w:gridAfter w:val="1"/>
                <w:wAfter w:w="10" w:type="dxa"/>
                <w:trHeight w:val="1286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465E4" w:rsidRPr="00251B95" w:rsidRDefault="000465E4" w:rsidP="00854B93">
                  <w:p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>LCR 40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1410" w:rsidRPr="00251B95" w:rsidRDefault="004A1410" w:rsidP="004223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97EAA" w:rsidRPr="00251B95" w:rsidRDefault="00497EAA" w:rsidP="00497EAA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 xml:space="preserve">LCR 40(b)(5):  Make clear that parties can schedule their own trial setting date only in limited circumstances  </w:t>
                  </w:r>
                </w:p>
                <w:p w:rsidR="000F0708" w:rsidRPr="00251B95" w:rsidRDefault="00497EAA" w:rsidP="00497EAA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 xml:space="preserve"> (f):  “Affidavit of prejudice” now has a new name “notice of disqualification” RCW 4.12.050.  </w:t>
                  </w:r>
                </w:p>
              </w:tc>
            </w:tr>
            <w:tr w:rsidR="007270B5" w:rsidRPr="00251B95" w:rsidTr="00B87E30">
              <w:trPr>
                <w:gridAfter w:val="1"/>
                <w:wAfter w:w="10" w:type="dxa"/>
                <w:trHeight w:val="265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7270B5" w:rsidRPr="00251B95" w:rsidRDefault="007270B5" w:rsidP="007D7345">
                  <w:p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 xml:space="preserve">LCR 53.2 </w:t>
                  </w:r>
                </w:p>
                <w:p w:rsidR="007270B5" w:rsidRPr="00251B95" w:rsidRDefault="007270B5" w:rsidP="007D734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75146" w:rsidRPr="00251B95" w:rsidRDefault="00975146" w:rsidP="004223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16205" w:rsidRPr="00422394" w:rsidRDefault="00316205" w:rsidP="00C36C0A">
                  <w:pPr>
                    <w:pStyle w:val="ListParagraph"/>
                    <w:widowControl w:val="0"/>
                    <w:numPr>
                      <w:ilvl w:val="0"/>
                      <w:numId w:val="3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640"/>
                      <w:tab w:val="left" w:pos="9360"/>
                    </w:tabs>
                    <w:ind w:left="720" w:hanging="684"/>
                    <w:contextualSpacing/>
                    <w:rPr>
                      <w:rFonts w:ascii="Arial" w:eastAsia="Calibri" w:hAnsi="Arial" w:cs="Arial"/>
                      <w:bCs/>
                      <w:noProof/>
                    </w:rPr>
                  </w:pPr>
                  <w:r w:rsidRPr="00422394">
                    <w:rPr>
                      <w:rFonts w:ascii="Arial" w:eastAsia="Calibri" w:hAnsi="Arial" w:cs="Arial"/>
                      <w:bCs/>
                      <w:noProof/>
                    </w:rPr>
                    <w:t xml:space="preserve">For revision motions, require judge’s copies of all parts of the record that are necessary for the court to review. </w:t>
                  </w:r>
                </w:p>
                <w:p w:rsidR="00316205" w:rsidRPr="00251B95" w:rsidRDefault="00316205" w:rsidP="00C36C0A">
                  <w:pPr>
                    <w:pStyle w:val="ListParagraph"/>
                    <w:widowControl w:val="0"/>
                    <w:numPr>
                      <w:ilvl w:val="0"/>
                      <w:numId w:val="3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640"/>
                      <w:tab w:val="left" w:pos="9360"/>
                    </w:tabs>
                    <w:ind w:left="720" w:hanging="684"/>
                    <w:contextualSpacing/>
                    <w:rPr>
                      <w:rFonts w:ascii="Arial" w:eastAsia="Calibri" w:hAnsi="Arial" w:cs="Arial"/>
                      <w:bCs/>
                      <w:noProof/>
                    </w:rPr>
                  </w:pPr>
                  <w:r w:rsidRPr="00251B95">
                    <w:rPr>
                      <w:rFonts w:ascii="Arial" w:eastAsia="Calibri" w:hAnsi="Arial" w:cs="Arial"/>
                      <w:bCs/>
                      <w:noProof/>
                    </w:rPr>
                    <w:t>This rule applies to FJC through a cross-reference in LSPR 94.14.</w:t>
                  </w:r>
                </w:p>
                <w:p w:rsidR="00316205" w:rsidRPr="00251B95" w:rsidRDefault="00316205" w:rsidP="00C36C0A">
                  <w:pPr>
                    <w:pStyle w:val="ListParagraph"/>
                    <w:widowControl w:val="0"/>
                    <w:numPr>
                      <w:ilvl w:val="0"/>
                      <w:numId w:val="32"/>
                    </w:numPr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640"/>
                      <w:tab w:val="left" w:pos="9360"/>
                    </w:tabs>
                    <w:ind w:left="720" w:hanging="684"/>
                    <w:contextualSpacing/>
                    <w:rPr>
                      <w:rFonts w:ascii="Arial" w:eastAsia="Calibri" w:hAnsi="Arial" w:cs="Arial"/>
                      <w:bCs/>
                      <w:noProof/>
                    </w:rPr>
                  </w:pPr>
                  <w:r w:rsidRPr="00251B95">
                    <w:rPr>
                      <w:rFonts w:ascii="Arial" w:eastAsia="Calibri" w:hAnsi="Arial" w:cs="Arial"/>
                      <w:bCs/>
                      <w:noProof/>
                    </w:rPr>
                    <w:t>The rule currently has party schedule revision motions at main campus that are not assigned to a judge to the civil motion calendar, but th</w:t>
                  </w:r>
                  <w:r w:rsidR="00B87E30">
                    <w:rPr>
                      <w:rFonts w:ascii="Arial" w:eastAsia="Calibri" w:hAnsi="Arial" w:cs="Arial"/>
                      <w:bCs/>
                      <w:noProof/>
                    </w:rPr>
                    <w:t>at calendar no longer exists</w:t>
                  </w:r>
                  <w:r w:rsidRPr="00251B95">
                    <w:rPr>
                      <w:rFonts w:ascii="Arial" w:eastAsia="Calibri" w:hAnsi="Arial" w:cs="Arial"/>
                      <w:bCs/>
                      <w:noProof/>
                    </w:rPr>
                    <w:t xml:space="preserve">.  Placed on criminal miscellaneous after sentencing calendar, per Presiding Judge. </w:t>
                  </w:r>
                </w:p>
                <w:p w:rsidR="007270B5" w:rsidRPr="00251B95" w:rsidRDefault="007270B5" w:rsidP="00C36C0A">
                  <w:pPr>
                    <w:ind w:hanging="684"/>
                    <w:rPr>
                      <w:rFonts w:ascii="Arial" w:hAnsi="Arial" w:cs="Arial"/>
                    </w:rPr>
                  </w:pPr>
                </w:p>
              </w:tc>
            </w:tr>
            <w:tr w:rsidR="000465E4" w:rsidRPr="00251B95" w:rsidTr="00B87E30">
              <w:trPr>
                <w:gridAfter w:val="1"/>
                <w:wAfter w:w="10" w:type="dxa"/>
                <w:trHeight w:val="265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465E4" w:rsidRPr="00251B95" w:rsidRDefault="000465E4" w:rsidP="00854B93">
                  <w:pPr>
                    <w:rPr>
                      <w:rFonts w:ascii="Arial" w:hAnsi="Arial" w:cs="Arial"/>
                    </w:rPr>
                  </w:pPr>
                  <w:r w:rsidRPr="005F44A9">
                    <w:rPr>
                      <w:rFonts w:ascii="Arial" w:hAnsi="Arial" w:cs="Arial"/>
                    </w:rPr>
                    <w:t>LCR 56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A4D11" w:rsidRPr="00251B95" w:rsidRDefault="00FA4D11" w:rsidP="00854B93">
                  <w:pPr>
                    <w:rPr>
                      <w:rFonts w:ascii="Arial" w:hAnsi="Arial" w:cs="Arial"/>
                    </w:rPr>
                  </w:pPr>
                </w:p>
                <w:p w:rsidR="00FA4D11" w:rsidRPr="00251B95" w:rsidRDefault="00FA4D11" w:rsidP="00854B9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C36C0A" w:rsidRPr="00251B95" w:rsidRDefault="00865538" w:rsidP="00E54940">
                  <w:pPr>
                    <w:widowControl w:val="0"/>
                    <w:numPr>
                      <w:ilvl w:val="0"/>
                      <w:numId w:val="35"/>
                    </w:numPr>
                    <w:tabs>
                      <w:tab w:val="left" w:pos="-1440"/>
                      <w:tab w:val="left" w:pos="-72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640"/>
                      <w:tab w:val="left" w:pos="9360"/>
                    </w:tabs>
                    <w:spacing w:after="160" w:line="259" w:lineRule="auto"/>
                    <w:ind w:left="720" w:hanging="7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Change in days to correctly implement change from last year.</w:t>
                  </w:r>
                </w:p>
                <w:p w:rsidR="000465E4" w:rsidRPr="00865538" w:rsidRDefault="00497EAA" w:rsidP="00865538">
                  <w:pPr>
                    <w:widowControl w:val="0"/>
                    <w:numPr>
                      <w:ilvl w:val="0"/>
                      <w:numId w:val="35"/>
                    </w:numPr>
                    <w:tabs>
                      <w:tab w:val="left" w:pos="-1440"/>
                      <w:tab w:val="left" w:pos="-720"/>
                      <w:tab w:val="left" w:pos="360"/>
                      <w:tab w:val="left" w:pos="396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640"/>
                      <w:tab w:val="left" w:pos="9360"/>
                    </w:tabs>
                    <w:spacing w:after="160" w:line="259" w:lineRule="auto"/>
                    <w:ind w:left="666" w:hanging="684"/>
                    <w:rPr>
                      <w:rFonts w:ascii="Arial" w:hAnsi="Arial" w:cs="Arial"/>
                    </w:rPr>
                  </w:pPr>
                  <w:r w:rsidRPr="00865538">
                    <w:rPr>
                      <w:rFonts w:ascii="Arial" w:eastAsiaTheme="minorHAnsi" w:hAnsi="Arial" w:cs="Arial"/>
                    </w:rPr>
                    <w:t xml:space="preserve">Add requirement similar to many federal district court's local rules requiring summary judgment motions against pro se parties to be accompanied by a form </w:t>
                  </w:r>
                  <w:r w:rsidR="00865538" w:rsidRPr="00865538">
                    <w:rPr>
                      <w:rFonts w:ascii="Arial" w:eastAsiaTheme="minorHAnsi" w:hAnsi="Arial" w:cs="Arial"/>
                    </w:rPr>
                    <w:t>notice explaining summary judgments motions.</w:t>
                  </w:r>
                  <w:r w:rsidR="00865538" w:rsidRPr="00865538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0465E4" w:rsidRPr="00251B95" w:rsidTr="00B87E30">
              <w:trPr>
                <w:gridAfter w:val="1"/>
                <w:wAfter w:w="10" w:type="dxa"/>
                <w:trHeight w:val="265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465E4" w:rsidRPr="00251B95" w:rsidRDefault="000465E4" w:rsidP="00854B93">
                  <w:p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>LCR 65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969E9" w:rsidRPr="00E54940" w:rsidRDefault="005969E9" w:rsidP="00854B93">
                  <w:pPr>
                    <w:rPr>
                      <w:rFonts w:ascii="Arial" w:hAnsi="Arial" w:cs="Arial"/>
                    </w:rPr>
                  </w:pPr>
                </w:p>
                <w:p w:rsidR="005969E9" w:rsidRPr="00E54940" w:rsidRDefault="005969E9" w:rsidP="008635A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54940" w:rsidRPr="005F44A9" w:rsidRDefault="00E54940" w:rsidP="005F44A9">
                  <w:pPr>
                    <w:pStyle w:val="TC3"/>
                  </w:pPr>
                  <w:r w:rsidRPr="005F44A9">
                    <w:t>Update on how TROs are handled on the civil ex parte calendar.</w:t>
                  </w:r>
                </w:p>
                <w:p w:rsidR="000465E4" w:rsidRPr="00E54940" w:rsidRDefault="000465E4" w:rsidP="00854B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57DCA" w:rsidRPr="00251B95" w:rsidTr="00B87E30">
              <w:trPr>
                <w:gridAfter w:val="1"/>
                <w:wAfter w:w="10" w:type="dxa"/>
                <w:trHeight w:val="265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757DCA" w:rsidRPr="00251B95" w:rsidRDefault="00757DCA" w:rsidP="00854B93">
                  <w:p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>LCR 79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673BE" w:rsidRPr="00251B95" w:rsidRDefault="002673BE" w:rsidP="005F44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4E782F" w:rsidRPr="00251B95" w:rsidRDefault="005F44A9" w:rsidP="005F44A9">
                  <w:pPr>
                    <w:pStyle w:val="ListParagraph"/>
                    <w:ind w:left="0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="004E782F" w:rsidRPr="00251B95">
                    <w:rPr>
                      <w:rFonts w:ascii="Arial" w:hAnsi="Arial" w:cs="Arial"/>
                    </w:rPr>
                    <w:t>lean up</w:t>
                  </w:r>
                  <w:r>
                    <w:rPr>
                      <w:rFonts w:ascii="Arial" w:hAnsi="Arial" w:cs="Arial"/>
                    </w:rPr>
                    <w:t xml:space="preserve"> by the Clerk’s Office.</w:t>
                  </w:r>
                </w:p>
                <w:p w:rsidR="00757DCA" w:rsidRPr="00251B95" w:rsidRDefault="00757DCA" w:rsidP="00251B95">
                  <w:pPr>
                    <w:pStyle w:val="ListParagraph"/>
                    <w:ind w:left="360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0465E4" w:rsidRPr="00251B95" w:rsidTr="00B87E30">
              <w:trPr>
                <w:gridAfter w:val="1"/>
                <w:wAfter w:w="10" w:type="dxa"/>
                <w:trHeight w:val="265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465E4" w:rsidRPr="00251B95" w:rsidRDefault="000465E4" w:rsidP="006121B1">
                  <w:p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lastRenderedPageBreak/>
                    <w:t>LCR 8</w:t>
                  </w:r>
                  <w:r w:rsidR="005969E9" w:rsidRPr="00251B95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465E4" w:rsidRPr="00251B95" w:rsidRDefault="000465E4" w:rsidP="005F44A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465E4" w:rsidRPr="005F44A9" w:rsidRDefault="00251B95" w:rsidP="005F44A9">
                  <w:pPr>
                    <w:rPr>
                      <w:rFonts w:ascii="Arial" w:hAnsi="Arial" w:cs="Arial"/>
                    </w:rPr>
                  </w:pPr>
                  <w:r w:rsidRPr="005F44A9">
                    <w:rPr>
                      <w:rFonts w:ascii="Arial" w:hAnsi="Arial" w:cs="Arial"/>
                    </w:rPr>
                    <w:t xml:space="preserve">Objections to ADR that cannot be resolved by the parties should be scheduled on the assigned judge’s motion calendar, not handled by a judicial assistant. </w:t>
                  </w:r>
                </w:p>
                <w:p w:rsidR="00251B95" w:rsidRPr="00251B95" w:rsidRDefault="00251B95" w:rsidP="006121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06393" w:rsidRPr="00251B95" w:rsidTr="00E4754F">
              <w:trPr>
                <w:gridAfter w:val="1"/>
                <w:wAfter w:w="10" w:type="dxa"/>
                <w:trHeight w:val="265"/>
              </w:trPr>
              <w:tc>
                <w:tcPr>
                  <w:tcW w:w="135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BB59" w:themeFill="accent3"/>
                  <w:noWrap/>
                </w:tcPr>
                <w:p w:rsidR="00206393" w:rsidRPr="00251B95" w:rsidRDefault="00206393" w:rsidP="00854B93">
                  <w:pPr>
                    <w:rPr>
                      <w:rFonts w:ascii="Arial" w:hAnsi="Arial" w:cs="Arial"/>
                      <w:b/>
                    </w:rPr>
                  </w:pPr>
                  <w:r w:rsidRPr="00251B95">
                    <w:rPr>
                      <w:rFonts w:ascii="Arial" w:hAnsi="Arial" w:cs="Arial"/>
                      <w:b/>
                    </w:rPr>
                    <w:t>Mandatory Arbitration Rules</w:t>
                  </w:r>
                </w:p>
                <w:p w:rsidR="00206393" w:rsidRPr="00251B95" w:rsidRDefault="00206393" w:rsidP="00854B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465E4" w:rsidRPr="00251B95" w:rsidTr="00B87E30">
              <w:trPr>
                <w:gridAfter w:val="1"/>
                <w:wAfter w:w="10" w:type="dxa"/>
                <w:trHeight w:val="265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465E4" w:rsidRPr="00251B95" w:rsidRDefault="003B0EE9" w:rsidP="00854B93">
                  <w:p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>LMAR 1.1</w:t>
                  </w:r>
                </w:p>
                <w:p w:rsidR="003B0EE9" w:rsidRPr="00251B95" w:rsidRDefault="003B0EE9" w:rsidP="00854B93">
                  <w:p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>LMAR 1.2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53021" w:rsidRPr="00251B95" w:rsidRDefault="00C53021" w:rsidP="00854B93">
                  <w:pPr>
                    <w:rPr>
                      <w:rFonts w:ascii="Arial" w:hAnsi="Arial" w:cs="Arial"/>
                    </w:rPr>
                  </w:pPr>
                </w:p>
                <w:p w:rsidR="00C53021" w:rsidRPr="00251B95" w:rsidRDefault="00C53021" w:rsidP="00854B9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3B0EE9" w:rsidRPr="00DD65FF" w:rsidRDefault="003B0EE9" w:rsidP="003B0EE9">
                  <w:pPr>
                    <w:contextualSpacing/>
                    <w:rPr>
                      <w:rFonts w:ascii="Arial" w:hAnsi="Arial" w:cs="Arial"/>
                    </w:rPr>
                  </w:pPr>
                  <w:r w:rsidRPr="00DD65FF">
                    <w:rPr>
                      <w:rFonts w:ascii="Arial" w:hAnsi="Arial" w:cs="Arial"/>
                    </w:rPr>
                    <w:t>House Bill 1128 changes the upper dollar limit of claims subject to mandatory arbitration from $50,000 to $100,000, provided that two-thirds of the judges agree on the amount.</w:t>
                  </w:r>
                  <w:r w:rsidR="00C53021" w:rsidRPr="00DD65FF">
                    <w:rPr>
                      <w:rFonts w:ascii="Arial" w:hAnsi="Arial" w:cs="Arial"/>
                    </w:rPr>
                    <w:t xml:space="preserve">  </w:t>
                  </w:r>
                  <w:r w:rsidR="00DD65FF" w:rsidRPr="00DD65FF">
                    <w:rPr>
                      <w:rFonts w:ascii="Arial" w:hAnsi="Arial" w:cs="Arial"/>
                    </w:rPr>
                    <w:t>The judges voted to approve the change.</w:t>
                  </w:r>
                </w:p>
                <w:p w:rsidR="000465E4" w:rsidRPr="00251B95" w:rsidRDefault="000465E4" w:rsidP="00854B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465E4" w:rsidRPr="00251B95" w:rsidTr="00B87E30">
              <w:trPr>
                <w:gridAfter w:val="1"/>
                <w:wAfter w:w="10" w:type="dxa"/>
                <w:trHeight w:val="265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0465E4" w:rsidRPr="00251B95" w:rsidRDefault="000465E4" w:rsidP="00854B93">
                  <w:p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>LMAR 2.1</w:t>
                  </w:r>
                </w:p>
                <w:p w:rsidR="003B0EE9" w:rsidRPr="00251B95" w:rsidRDefault="003B0EE9" w:rsidP="00854B9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62A80" w:rsidRPr="00251B95" w:rsidRDefault="00062A80" w:rsidP="00854B93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  <w:p w:rsidR="000465E4" w:rsidRPr="00251B95" w:rsidRDefault="000465E4" w:rsidP="00854B9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674696" w:rsidRPr="00DD65FF" w:rsidRDefault="00674696" w:rsidP="00DD65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640"/>
                      <w:tab w:val="left" w:pos="9360"/>
                    </w:tabs>
                    <w:contextualSpacing/>
                    <w:rPr>
                      <w:rFonts w:ascii="Arial" w:eastAsia="Calibri" w:hAnsi="Arial" w:cs="Arial"/>
                    </w:rPr>
                  </w:pPr>
                  <w:r w:rsidRPr="00DD65FF">
                    <w:rPr>
                      <w:rFonts w:ascii="Arial" w:eastAsia="Calibri" w:hAnsi="Arial" w:cs="Arial"/>
                    </w:rPr>
                    <w:t xml:space="preserve">Use the form that Kitsap was using that states if a party objects to the matter going into arbitration that must set a hearing before the assigned judge.  </w:t>
                  </w:r>
                  <w:r w:rsidR="00DD65FF" w:rsidRPr="00DD65FF">
                    <w:rPr>
                      <w:rFonts w:ascii="Arial" w:eastAsia="Calibri" w:hAnsi="Arial" w:cs="Arial"/>
                    </w:rPr>
                    <w:t>I</w:t>
                  </w:r>
                  <w:r w:rsidRPr="00DD65FF">
                    <w:rPr>
                      <w:rFonts w:ascii="Arial" w:eastAsia="Calibri" w:hAnsi="Arial" w:cs="Arial"/>
                    </w:rPr>
                    <w:t xml:space="preserve">f a party does not use the current form for setting arbitration, then the clerk will not set it </w:t>
                  </w:r>
                  <w:r w:rsidR="00DD65FF" w:rsidRPr="00DD65FF">
                    <w:rPr>
                      <w:rFonts w:ascii="Arial" w:eastAsia="Calibri" w:hAnsi="Arial" w:cs="Arial"/>
                    </w:rPr>
                    <w:t>and</w:t>
                  </w:r>
                  <w:r w:rsidRPr="00DD65FF">
                    <w:rPr>
                      <w:rFonts w:ascii="Arial" w:eastAsia="Calibri" w:hAnsi="Arial" w:cs="Arial"/>
                    </w:rPr>
                    <w:t xml:space="preserve"> will not notify the parties.  </w:t>
                  </w:r>
                </w:p>
                <w:p w:rsidR="00E54940" w:rsidRDefault="00E54940" w:rsidP="00854B93">
                  <w:pPr>
                    <w:rPr>
                      <w:rFonts w:ascii="Arial" w:hAnsi="Arial" w:cs="Arial"/>
                    </w:rPr>
                  </w:pPr>
                </w:p>
                <w:p w:rsidR="00E54940" w:rsidRPr="00251B95" w:rsidRDefault="00E54940" w:rsidP="00854B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06393" w:rsidRPr="00251B95" w:rsidTr="00E4754F">
              <w:trPr>
                <w:gridAfter w:val="1"/>
                <w:wAfter w:w="10" w:type="dxa"/>
                <w:trHeight w:val="265"/>
              </w:trPr>
              <w:tc>
                <w:tcPr>
                  <w:tcW w:w="135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BB59" w:themeFill="accent3"/>
                  <w:noWrap/>
                </w:tcPr>
                <w:p w:rsidR="00206393" w:rsidRPr="00251B95" w:rsidRDefault="00206393" w:rsidP="00854B93">
                  <w:p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  <w:b/>
                    </w:rPr>
                    <w:t>Criminal Rules</w:t>
                  </w:r>
                </w:p>
              </w:tc>
            </w:tr>
            <w:tr w:rsidR="00B55D95" w:rsidRPr="00251B95" w:rsidTr="00B87E3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10" w:type="dxa"/>
                <w:trHeight w:val="265"/>
              </w:trPr>
              <w:tc>
                <w:tcPr>
                  <w:tcW w:w="187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5D95" w:rsidRDefault="00B55D95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LCrR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3.4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5D95" w:rsidRPr="00251B95" w:rsidRDefault="00B55D9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5D95" w:rsidRDefault="00B87E30" w:rsidP="00A5322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  <w:r w:rsidR="00B55D95" w:rsidRPr="00B55D95">
                    <w:rPr>
                      <w:rFonts w:ascii="Arial" w:hAnsi="Arial" w:cs="Arial"/>
                    </w:rPr>
                    <w:t>oving content that is currently in LCR 7 to the criminal rules.</w:t>
                  </w:r>
                </w:p>
                <w:p w:rsidR="00B87E30" w:rsidRPr="00A5322E" w:rsidRDefault="00B87E30" w:rsidP="00A5322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55D95" w:rsidRPr="00251B95" w:rsidTr="00B87E3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10" w:type="dxa"/>
                <w:trHeight w:val="265"/>
              </w:trPr>
              <w:tc>
                <w:tcPr>
                  <w:tcW w:w="187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5D95" w:rsidRPr="00251B95" w:rsidRDefault="00B55D95" w:rsidP="00B55D95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LCrR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7.2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5D95" w:rsidRPr="00251B95" w:rsidRDefault="00B55D95" w:rsidP="00B55D9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5D95" w:rsidRPr="00A5322E" w:rsidRDefault="00B55D95" w:rsidP="00B55D95">
                  <w:pPr>
                    <w:rPr>
                      <w:rFonts w:ascii="Arial" w:hAnsi="Arial" w:cs="Arial"/>
                    </w:rPr>
                  </w:pPr>
                  <w:r w:rsidRPr="00A5322E">
                    <w:rPr>
                      <w:rFonts w:ascii="Arial" w:hAnsi="Arial" w:cs="Arial"/>
                    </w:rPr>
                    <w:t>Require a sentencing memorandum, including copies of documents important to sentencing as a judge’s copy.</w:t>
                  </w:r>
                </w:p>
                <w:p w:rsidR="00B55D95" w:rsidRPr="00251B95" w:rsidRDefault="00B55D95" w:rsidP="00B55D95">
                  <w:pPr>
                    <w:rPr>
                      <w:rFonts w:ascii="Arial" w:hAnsi="Arial" w:cs="Arial"/>
                      <w:highlight w:val="yellow"/>
                    </w:rPr>
                  </w:pPr>
                </w:p>
              </w:tc>
            </w:tr>
            <w:tr w:rsidR="00B55D95" w:rsidRPr="00251B95" w:rsidTr="00B87E3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10" w:type="dxa"/>
                <w:trHeight w:val="265"/>
              </w:trPr>
              <w:tc>
                <w:tcPr>
                  <w:tcW w:w="1871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5D95" w:rsidRPr="00251B95" w:rsidRDefault="00B55D95" w:rsidP="00B55D95">
                  <w:pPr>
                    <w:rPr>
                      <w:rFonts w:ascii="Arial" w:hAnsi="Arial" w:cs="Arial"/>
                    </w:rPr>
                  </w:pPr>
                  <w:r w:rsidRPr="00067B1C">
                    <w:rPr>
                      <w:rFonts w:ascii="Arial" w:hAnsi="Arial" w:cs="Arial"/>
                    </w:rPr>
                    <w:t>SPRC 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5D95" w:rsidRPr="00251B95" w:rsidRDefault="00B55D95" w:rsidP="00B55D9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5D95" w:rsidRPr="00251B95" w:rsidRDefault="00E07AFE" w:rsidP="00E07AFE">
                  <w:pPr>
                    <w:pStyle w:val="ListParagraph"/>
                    <w:spacing w:after="160" w:line="252" w:lineRule="auto"/>
                    <w:ind w:left="0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Increase communication about capital offenses to facilitate the court following its duties under the </w:t>
                  </w:r>
                  <w:r w:rsidR="00B55D95" w:rsidRPr="00251B95">
                    <w:rPr>
                      <w:rFonts w:ascii="Arial" w:hAnsi="Arial" w:cs="Arial"/>
                    </w:rPr>
                    <w:t xml:space="preserve">Special Proceedings Rules. </w:t>
                  </w:r>
                </w:p>
                <w:p w:rsidR="00B55D95" w:rsidRPr="00251B95" w:rsidRDefault="00B55D95" w:rsidP="00E07AFE">
                  <w:pPr>
                    <w:spacing w:after="160" w:line="252" w:lineRule="auto"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B55D95" w:rsidRPr="00251B95" w:rsidTr="00E4754F">
              <w:trPr>
                <w:gridAfter w:val="1"/>
                <w:wAfter w:w="10" w:type="dxa"/>
                <w:trHeight w:val="265"/>
              </w:trPr>
              <w:tc>
                <w:tcPr>
                  <w:tcW w:w="135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BB59" w:themeFill="accent3"/>
                  <w:noWrap/>
                </w:tcPr>
                <w:p w:rsidR="00B55D95" w:rsidRPr="00251B95" w:rsidRDefault="00B55D95" w:rsidP="00B55D95">
                  <w:pPr>
                    <w:rPr>
                      <w:rFonts w:ascii="Arial" w:hAnsi="Arial" w:cs="Arial"/>
                      <w:b/>
                    </w:rPr>
                  </w:pPr>
                  <w:r w:rsidRPr="00251B95">
                    <w:rPr>
                      <w:rFonts w:ascii="Arial" w:hAnsi="Arial" w:cs="Arial"/>
                      <w:b/>
                    </w:rPr>
                    <w:t>LSPR / Family Law</w:t>
                  </w:r>
                </w:p>
              </w:tc>
            </w:tr>
            <w:tr w:rsidR="00B55D95" w:rsidRPr="00251B95" w:rsidTr="00F57363">
              <w:trPr>
                <w:gridAfter w:val="1"/>
                <w:wAfter w:w="10" w:type="dxa"/>
                <w:trHeight w:val="265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D95" w:rsidRPr="00251B95" w:rsidRDefault="00B55D95" w:rsidP="00B55D9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D95" w:rsidRPr="00251B95" w:rsidRDefault="00B55D95" w:rsidP="00B55D9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5D95" w:rsidRPr="00251B95" w:rsidRDefault="00B55D95" w:rsidP="00B55D9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55D95" w:rsidRPr="00251B95" w:rsidTr="00B87E30">
              <w:trPr>
                <w:gridAfter w:val="1"/>
                <w:wAfter w:w="10" w:type="dxa"/>
                <w:trHeight w:val="265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55D95" w:rsidRPr="00251B95" w:rsidRDefault="00B55D95" w:rsidP="00B55D95">
                  <w:p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>LSPR 94.03A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55D95" w:rsidRPr="00251B95" w:rsidRDefault="00B55D95" w:rsidP="00B55D9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55D95" w:rsidRPr="00251B95" w:rsidRDefault="00B55D95" w:rsidP="00B55D95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contextualSpacing/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>“Affidavit of prejudice” was renamed “notice of disqualification” in RCW 4.12.050.</w:t>
                  </w:r>
                </w:p>
                <w:p w:rsidR="00B55D95" w:rsidRPr="00251B95" w:rsidRDefault="00B55D95" w:rsidP="00B55D95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contextualSpacing/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>Also see LCR 40 for similar change.</w:t>
                  </w:r>
                </w:p>
                <w:p w:rsidR="00B55D95" w:rsidRPr="00251B95" w:rsidRDefault="00B55D95" w:rsidP="00B55D9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55D95" w:rsidRPr="00251B95" w:rsidTr="00B87E30">
              <w:trPr>
                <w:gridAfter w:val="1"/>
                <w:wAfter w:w="10" w:type="dxa"/>
                <w:trHeight w:val="265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55D95" w:rsidRPr="00251B95" w:rsidRDefault="00B55D95" w:rsidP="00B55D95">
                  <w:p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>LSPR 94.03B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55D95" w:rsidRPr="00251B95" w:rsidRDefault="00B55D95" w:rsidP="00B55D9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55D95" w:rsidRPr="00DD65FF" w:rsidRDefault="00B55D95" w:rsidP="00B55D95">
                  <w:pPr>
                    <w:rPr>
                      <w:rFonts w:ascii="Arial" w:hAnsi="Arial" w:cs="Arial"/>
                    </w:rPr>
                  </w:pPr>
                  <w:r w:rsidRPr="00DD65FF">
                    <w:rPr>
                      <w:rFonts w:ascii="Arial" w:hAnsi="Arial" w:cs="Arial"/>
                    </w:rPr>
                    <w:t xml:space="preserve">Earlier deadline for briefs, like LCR 5.  </w:t>
                  </w:r>
                </w:p>
              </w:tc>
            </w:tr>
            <w:tr w:rsidR="00B55D95" w:rsidRPr="00251B95" w:rsidTr="00B87E30">
              <w:trPr>
                <w:gridAfter w:val="1"/>
                <w:wAfter w:w="10" w:type="dxa"/>
                <w:trHeight w:val="265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55D95" w:rsidRPr="00251B95" w:rsidRDefault="00B55D95" w:rsidP="00DD65FF">
                  <w:pPr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>LSPR 94.03D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55D95" w:rsidRPr="00251B95" w:rsidRDefault="00B55D95" w:rsidP="00B55D9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55D95" w:rsidRPr="00251B95" w:rsidRDefault="00B55D95" w:rsidP="00B55D95">
                  <w:pPr>
                    <w:contextualSpacing/>
                    <w:rPr>
                      <w:rFonts w:ascii="Arial" w:hAnsi="Arial" w:cs="Arial"/>
                    </w:rPr>
                  </w:pPr>
                  <w:r w:rsidRPr="00251B95">
                    <w:rPr>
                      <w:rFonts w:ascii="Arial" w:hAnsi="Arial" w:cs="Arial"/>
                    </w:rPr>
                    <w:t>Section (a</w:t>
                  </w:r>
                  <w:proofErr w:type="gramStart"/>
                  <w:r w:rsidRPr="00251B95">
                    <w:rPr>
                      <w:rFonts w:ascii="Arial" w:hAnsi="Arial" w:cs="Arial"/>
                    </w:rPr>
                    <w:t>)(</w:t>
                  </w:r>
                  <w:proofErr w:type="gramEnd"/>
                  <w:r w:rsidRPr="00251B95">
                    <w:rPr>
                      <w:rFonts w:ascii="Arial" w:hAnsi="Arial" w:cs="Arial"/>
                    </w:rPr>
                    <w:t xml:space="preserve">6):  “If a party fails to comply with the provisions of (3), (4), </w:t>
                  </w:r>
                  <w:r w:rsidRPr="00251B95">
                    <w:rPr>
                      <w:rFonts w:ascii="Arial" w:hAnsi="Arial" w:cs="Arial"/>
                      <w:color w:val="FF0000"/>
                    </w:rPr>
                    <w:t xml:space="preserve">or </w:t>
                  </w:r>
                  <w:r w:rsidRPr="00251B95">
                    <w:rPr>
                      <w:rFonts w:ascii="Arial" w:hAnsi="Arial" w:cs="Arial"/>
                    </w:rPr>
                    <w:t xml:space="preserve">(5) above, then the court may immediately impose sanctions not to exceed $500.”  </w:t>
                  </w:r>
                </w:p>
                <w:p w:rsidR="00B55D95" w:rsidRPr="00251B95" w:rsidRDefault="00B55D95" w:rsidP="00B55D9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55D95" w:rsidRPr="00251B95" w:rsidTr="00F57363">
              <w:trPr>
                <w:gridAfter w:val="1"/>
                <w:wAfter w:w="10" w:type="dxa"/>
                <w:trHeight w:val="265"/>
              </w:trPr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55D95" w:rsidRPr="00251B95" w:rsidRDefault="00B55D95" w:rsidP="00B55D9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55D95" w:rsidRPr="00251B95" w:rsidRDefault="00B55D95" w:rsidP="00B55D9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B55D95" w:rsidRPr="00251B95" w:rsidRDefault="00B55D95" w:rsidP="00B55D95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522BD6" w:rsidRPr="00251B95" w:rsidRDefault="00522BD6" w:rsidP="00BE361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146EC" w:rsidRPr="00251B95" w:rsidRDefault="00B146EC" w:rsidP="00BE3616">
      <w:pPr>
        <w:rPr>
          <w:rFonts w:ascii="Arial" w:hAnsi="Arial" w:cs="Arial"/>
        </w:rPr>
      </w:pPr>
    </w:p>
    <w:sectPr w:rsidR="00B146EC" w:rsidRPr="00251B95" w:rsidSect="00531B98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158"/>
    <w:multiLevelType w:val="hybridMultilevel"/>
    <w:tmpl w:val="D562A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B6A9C"/>
    <w:multiLevelType w:val="hybridMultilevel"/>
    <w:tmpl w:val="11E000E2"/>
    <w:lvl w:ilvl="0" w:tplc="2EC6B58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76981"/>
    <w:multiLevelType w:val="hybridMultilevel"/>
    <w:tmpl w:val="902A0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C6DE5"/>
    <w:multiLevelType w:val="hybridMultilevel"/>
    <w:tmpl w:val="43F6C962"/>
    <w:lvl w:ilvl="0" w:tplc="17128CFC">
      <w:start w:val="7"/>
      <w:numFmt w:val="bullet"/>
      <w:lvlText w:val=""/>
      <w:lvlJc w:val="left"/>
      <w:pPr>
        <w:ind w:left="52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12D23A2E"/>
    <w:multiLevelType w:val="hybridMultilevel"/>
    <w:tmpl w:val="4854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5F66"/>
    <w:multiLevelType w:val="hybridMultilevel"/>
    <w:tmpl w:val="2C02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6816"/>
    <w:multiLevelType w:val="hybridMultilevel"/>
    <w:tmpl w:val="ABDCA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63901"/>
    <w:multiLevelType w:val="hybridMultilevel"/>
    <w:tmpl w:val="BDF2A3E0"/>
    <w:lvl w:ilvl="0" w:tplc="56D47570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EA2CCC"/>
    <w:multiLevelType w:val="hybridMultilevel"/>
    <w:tmpl w:val="703E7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799A"/>
    <w:multiLevelType w:val="hybridMultilevel"/>
    <w:tmpl w:val="CF0E0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A6BA5"/>
    <w:multiLevelType w:val="hybridMultilevel"/>
    <w:tmpl w:val="2EB2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D072B"/>
    <w:multiLevelType w:val="hybridMultilevel"/>
    <w:tmpl w:val="35F68FB4"/>
    <w:lvl w:ilvl="0" w:tplc="0409000F">
      <w:start w:val="1"/>
      <w:numFmt w:val="decimal"/>
      <w:lvlText w:val="%1.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207014A1"/>
    <w:multiLevelType w:val="hybridMultilevel"/>
    <w:tmpl w:val="7F44E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BD068E"/>
    <w:multiLevelType w:val="hybridMultilevel"/>
    <w:tmpl w:val="4C6E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60FBC"/>
    <w:multiLevelType w:val="hybridMultilevel"/>
    <w:tmpl w:val="4B1AAE96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3FFC086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2573790D"/>
    <w:multiLevelType w:val="hybridMultilevel"/>
    <w:tmpl w:val="16F63F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A1B89"/>
    <w:multiLevelType w:val="hybridMultilevel"/>
    <w:tmpl w:val="1F6AA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E165F8"/>
    <w:multiLevelType w:val="hybridMultilevel"/>
    <w:tmpl w:val="5284F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E30FB"/>
    <w:multiLevelType w:val="hybridMultilevel"/>
    <w:tmpl w:val="57BE7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0614B8"/>
    <w:multiLevelType w:val="hybridMultilevel"/>
    <w:tmpl w:val="1C8C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E33B3"/>
    <w:multiLevelType w:val="hybridMultilevel"/>
    <w:tmpl w:val="40D6C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750A3"/>
    <w:multiLevelType w:val="hybridMultilevel"/>
    <w:tmpl w:val="A6E07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EB5F3F"/>
    <w:multiLevelType w:val="hybridMultilevel"/>
    <w:tmpl w:val="93C0D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CE46CA"/>
    <w:multiLevelType w:val="hybridMultilevel"/>
    <w:tmpl w:val="21F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01971"/>
    <w:multiLevelType w:val="hybridMultilevel"/>
    <w:tmpl w:val="5904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E7BC6"/>
    <w:multiLevelType w:val="hybridMultilevel"/>
    <w:tmpl w:val="B6D0F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8E035C"/>
    <w:multiLevelType w:val="hybridMultilevel"/>
    <w:tmpl w:val="0834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D06CB"/>
    <w:multiLevelType w:val="hybridMultilevel"/>
    <w:tmpl w:val="7F44E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753B5C"/>
    <w:multiLevelType w:val="hybridMultilevel"/>
    <w:tmpl w:val="CCB8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D16C3"/>
    <w:multiLevelType w:val="hybridMultilevel"/>
    <w:tmpl w:val="B52A9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D252B4"/>
    <w:multiLevelType w:val="hybridMultilevel"/>
    <w:tmpl w:val="14C8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37A7A"/>
    <w:multiLevelType w:val="hybridMultilevel"/>
    <w:tmpl w:val="C9265D7A"/>
    <w:lvl w:ilvl="0" w:tplc="0409000F">
      <w:start w:val="1"/>
      <w:numFmt w:val="decimal"/>
      <w:lvlText w:val="%1.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 w15:restartNumberingAfterBreak="0">
    <w:nsid w:val="58B263CF"/>
    <w:multiLevelType w:val="hybridMultilevel"/>
    <w:tmpl w:val="83A2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41E14"/>
    <w:multiLevelType w:val="hybridMultilevel"/>
    <w:tmpl w:val="2130AED8"/>
    <w:lvl w:ilvl="0" w:tplc="0409000F">
      <w:start w:val="1"/>
      <w:numFmt w:val="decimal"/>
      <w:lvlText w:val="%1."/>
      <w:lvlJc w:val="left"/>
      <w:pPr>
        <w:ind w:left="-2160" w:hanging="360"/>
      </w:p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34" w15:restartNumberingAfterBreak="0">
    <w:nsid w:val="5A320A2F"/>
    <w:multiLevelType w:val="hybridMultilevel"/>
    <w:tmpl w:val="DC3C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871FF"/>
    <w:multiLevelType w:val="hybridMultilevel"/>
    <w:tmpl w:val="A7DAD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F65AE"/>
    <w:multiLevelType w:val="hybridMultilevel"/>
    <w:tmpl w:val="0A90A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E742F"/>
    <w:multiLevelType w:val="hybridMultilevel"/>
    <w:tmpl w:val="2368C4C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18B2F9A"/>
    <w:multiLevelType w:val="hybridMultilevel"/>
    <w:tmpl w:val="C97E6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627ACB"/>
    <w:multiLevelType w:val="hybridMultilevel"/>
    <w:tmpl w:val="A7DAD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2618E"/>
    <w:multiLevelType w:val="hybridMultilevel"/>
    <w:tmpl w:val="BC384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46232"/>
    <w:multiLevelType w:val="hybridMultilevel"/>
    <w:tmpl w:val="DA8E2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9573D2"/>
    <w:multiLevelType w:val="hybridMultilevel"/>
    <w:tmpl w:val="AF32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0"/>
  </w:num>
  <w:num w:numId="4">
    <w:abstractNumId w:val="22"/>
  </w:num>
  <w:num w:numId="5">
    <w:abstractNumId w:val="8"/>
  </w:num>
  <w:num w:numId="6">
    <w:abstractNumId w:val="3"/>
  </w:num>
  <w:num w:numId="7">
    <w:abstractNumId w:val="7"/>
  </w:num>
  <w:num w:numId="8">
    <w:abstractNumId w:val="39"/>
  </w:num>
  <w:num w:numId="9">
    <w:abstractNumId w:val="30"/>
  </w:num>
  <w:num w:numId="10">
    <w:abstractNumId w:val="34"/>
  </w:num>
  <w:num w:numId="11">
    <w:abstractNumId w:val="4"/>
  </w:num>
  <w:num w:numId="12">
    <w:abstractNumId w:val="9"/>
  </w:num>
  <w:num w:numId="13">
    <w:abstractNumId w:val="4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6"/>
  </w:num>
  <w:num w:numId="17">
    <w:abstractNumId w:val="19"/>
  </w:num>
  <w:num w:numId="18">
    <w:abstractNumId w:val="3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3"/>
  </w:num>
  <w:num w:numId="22">
    <w:abstractNumId w:val="29"/>
  </w:num>
  <w:num w:numId="23">
    <w:abstractNumId w:val="31"/>
  </w:num>
  <w:num w:numId="24">
    <w:abstractNumId w:val="40"/>
  </w:num>
  <w:num w:numId="25">
    <w:abstractNumId w:val="2"/>
  </w:num>
  <w:num w:numId="26">
    <w:abstractNumId w:val="17"/>
  </w:num>
  <w:num w:numId="27">
    <w:abstractNumId w:val="1"/>
  </w:num>
  <w:num w:numId="28">
    <w:abstractNumId w:val="20"/>
  </w:num>
  <w:num w:numId="29">
    <w:abstractNumId w:val="41"/>
  </w:num>
  <w:num w:numId="30">
    <w:abstractNumId w:val="37"/>
  </w:num>
  <w:num w:numId="31">
    <w:abstractNumId w:val="16"/>
  </w:num>
  <w:num w:numId="32">
    <w:abstractNumId w:val="14"/>
  </w:num>
  <w:num w:numId="33">
    <w:abstractNumId w:val="11"/>
  </w:num>
  <w:num w:numId="34">
    <w:abstractNumId w:val="24"/>
  </w:num>
  <w:num w:numId="35">
    <w:abstractNumId w:val="25"/>
  </w:num>
  <w:num w:numId="36">
    <w:abstractNumId w:val="18"/>
  </w:num>
  <w:num w:numId="37">
    <w:abstractNumId w:val="5"/>
  </w:num>
  <w:num w:numId="38">
    <w:abstractNumId w:val="23"/>
  </w:num>
  <w:num w:numId="39">
    <w:abstractNumId w:val="12"/>
  </w:num>
  <w:num w:numId="40">
    <w:abstractNumId w:val="27"/>
  </w:num>
  <w:num w:numId="41">
    <w:abstractNumId w:val="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EC"/>
    <w:rsid w:val="00011782"/>
    <w:rsid w:val="00013A1C"/>
    <w:rsid w:val="0002461C"/>
    <w:rsid w:val="00025260"/>
    <w:rsid w:val="00026323"/>
    <w:rsid w:val="00031BDE"/>
    <w:rsid w:val="00036C03"/>
    <w:rsid w:val="000376D8"/>
    <w:rsid w:val="00037D2A"/>
    <w:rsid w:val="000402BC"/>
    <w:rsid w:val="00043E02"/>
    <w:rsid w:val="000441A6"/>
    <w:rsid w:val="00046466"/>
    <w:rsid w:val="000465E4"/>
    <w:rsid w:val="0004780C"/>
    <w:rsid w:val="0005282B"/>
    <w:rsid w:val="00053823"/>
    <w:rsid w:val="00054887"/>
    <w:rsid w:val="00054C7F"/>
    <w:rsid w:val="00055577"/>
    <w:rsid w:val="00057C91"/>
    <w:rsid w:val="00060DF1"/>
    <w:rsid w:val="00060F03"/>
    <w:rsid w:val="00062148"/>
    <w:rsid w:val="00062A80"/>
    <w:rsid w:val="000665A2"/>
    <w:rsid w:val="00067B1C"/>
    <w:rsid w:val="0007147D"/>
    <w:rsid w:val="00080338"/>
    <w:rsid w:val="000807C9"/>
    <w:rsid w:val="00080BDA"/>
    <w:rsid w:val="00081935"/>
    <w:rsid w:val="00083EE3"/>
    <w:rsid w:val="00086060"/>
    <w:rsid w:val="000872C8"/>
    <w:rsid w:val="000902F5"/>
    <w:rsid w:val="0009122D"/>
    <w:rsid w:val="000918ED"/>
    <w:rsid w:val="0009572A"/>
    <w:rsid w:val="000A4065"/>
    <w:rsid w:val="000A5140"/>
    <w:rsid w:val="000A7A2E"/>
    <w:rsid w:val="000B07F3"/>
    <w:rsid w:val="000B176D"/>
    <w:rsid w:val="000B370E"/>
    <w:rsid w:val="000C10CA"/>
    <w:rsid w:val="000C58C7"/>
    <w:rsid w:val="000D247E"/>
    <w:rsid w:val="000D4ACC"/>
    <w:rsid w:val="000D4B07"/>
    <w:rsid w:val="000D4C16"/>
    <w:rsid w:val="000D4DE5"/>
    <w:rsid w:val="000E0E8D"/>
    <w:rsid w:val="000E1184"/>
    <w:rsid w:val="000E22FE"/>
    <w:rsid w:val="000E76FA"/>
    <w:rsid w:val="000F0708"/>
    <w:rsid w:val="000F1DA1"/>
    <w:rsid w:val="000F26E3"/>
    <w:rsid w:val="000F5031"/>
    <w:rsid w:val="000F5A6C"/>
    <w:rsid w:val="00101E5F"/>
    <w:rsid w:val="00104F76"/>
    <w:rsid w:val="00110C7B"/>
    <w:rsid w:val="00110FE9"/>
    <w:rsid w:val="00112F78"/>
    <w:rsid w:val="00115C60"/>
    <w:rsid w:val="001170F3"/>
    <w:rsid w:val="00117EB3"/>
    <w:rsid w:val="0012023A"/>
    <w:rsid w:val="00123F1A"/>
    <w:rsid w:val="00124AA1"/>
    <w:rsid w:val="00126731"/>
    <w:rsid w:val="001272D6"/>
    <w:rsid w:val="0012778D"/>
    <w:rsid w:val="00130116"/>
    <w:rsid w:val="00130702"/>
    <w:rsid w:val="00130C2E"/>
    <w:rsid w:val="0013523B"/>
    <w:rsid w:val="00135894"/>
    <w:rsid w:val="001424AA"/>
    <w:rsid w:val="00142A0A"/>
    <w:rsid w:val="00144BF2"/>
    <w:rsid w:val="00145499"/>
    <w:rsid w:val="00145B8A"/>
    <w:rsid w:val="001509E6"/>
    <w:rsid w:val="00151EA9"/>
    <w:rsid w:val="00151FA7"/>
    <w:rsid w:val="001544BA"/>
    <w:rsid w:val="00156573"/>
    <w:rsid w:val="00156854"/>
    <w:rsid w:val="00157F5C"/>
    <w:rsid w:val="001627DF"/>
    <w:rsid w:val="00162AEA"/>
    <w:rsid w:val="0016358F"/>
    <w:rsid w:val="0016370F"/>
    <w:rsid w:val="00163793"/>
    <w:rsid w:val="00164FED"/>
    <w:rsid w:val="0016761C"/>
    <w:rsid w:val="00170C18"/>
    <w:rsid w:val="001713AC"/>
    <w:rsid w:val="00173BCB"/>
    <w:rsid w:val="001838F1"/>
    <w:rsid w:val="00186102"/>
    <w:rsid w:val="001863E4"/>
    <w:rsid w:val="00193627"/>
    <w:rsid w:val="00196553"/>
    <w:rsid w:val="001A192E"/>
    <w:rsid w:val="001B02ED"/>
    <w:rsid w:val="001B0A55"/>
    <w:rsid w:val="001B1ABD"/>
    <w:rsid w:val="001B2238"/>
    <w:rsid w:val="001B249D"/>
    <w:rsid w:val="001B2626"/>
    <w:rsid w:val="001B329D"/>
    <w:rsid w:val="001B74AA"/>
    <w:rsid w:val="001C2EBA"/>
    <w:rsid w:val="001C3DA1"/>
    <w:rsid w:val="001C62F2"/>
    <w:rsid w:val="001C697A"/>
    <w:rsid w:val="001D09A8"/>
    <w:rsid w:val="001D2206"/>
    <w:rsid w:val="001D7F2F"/>
    <w:rsid w:val="001E1352"/>
    <w:rsid w:val="001E4A5A"/>
    <w:rsid w:val="001E5526"/>
    <w:rsid w:val="001E7062"/>
    <w:rsid w:val="001E7D07"/>
    <w:rsid w:val="001F026C"/>
    <w:rsid w:val="001F1051"/>
    <w:rsid w:val="0020155F"/>
    <w:rsid w:val="00205BA0"/>
    <w:rsid w:val="00206393"/>
    <w:rsid w:val="00212097"/>
    <w:rsid w:val="002161E5"/>
    <w:rsid w:val="00217149"/>
    <w:rsid w:val="002219F9"/>
    <w:rsid w:val="0022637E"/>
    <w:rsid w:val="0023137A"/>
    <w:rsid w:val="0023577A"/>
    <w:rsid w:val="00242329"/>
    <w:rsid w:val="00243181"/>
    <w:rsid w:val="002432CF"/>
    <w:rsid w:val="00244384"/>
    <w:rsid w:val="00244CFF"/>
    <w:rsid w:val="00245E7A"/>
    <w:rsid w:val="0024616F"/>
    <w:rsid w:val="00251B95"/>
    <w:rsid w:val="00255871"/>
    <w:rsid w:val="00257011"/>
    <w:rsid w:val="002605B1"/>
    <w:rsid w:val="002624F2"/>
    <w:rsid w:val="00263169"/>
    <w:rsid w:val="00266E0B"/>
    <w:rsid w:val="002673A1"/>
    <w:rsid w:val="002673BE"/>
    <w:rsid w:val="002678B3"/>
    <w:rsid w:val="0027147F"/>
    <w:rsid w:val="0027239D"/>
    <w:rsid w:val="00277A8C"/>
    <w:rsid w:val="00282C82"/>
    <w:rsid w:val="002832FF"/>
    <w:rsid w:val="00283371"/>
    <w:rsid w:val="0029041D"/>
    <w:rsid w:val="00290453"/>
    <w:rsid w:val="002906E3"/>
    <w:rsid w:val="0029085E"/>
    <w:rsid w:val="00290CD0"/>
    <w:rsid w:val="00291603"/>
    <w:rsid w:val="002A2BBD"/>
    <w:rsid w:val="002A2C19"/>
    <w:rsid w:val="002A2EBF"/>
    <w:rsid w:val="002A35EC"/>
    <w:rsid w:val="002A41E4"/>
    <w:rsid w:val="002B0557"/>
    <w:rsid w:val="002B0DE5"/>
    <w:rsid w:val="002B2A05"/>
    <w:rsid w:val="002B55AD"/>
    <w:rsid w:val="002B5EB2"/>
    <w:rsid w:val="002C0154"/>
    <w:rsid w:val="002C2447"/>
    <w:rsid w:val="002C321F"/>
    <w:rsid w:val="002C359C"/>
    <w:rsid w:val="002C3AFE"/>
    <w:rsid w:val="002C554A"/>
    <w:rsid w:val="002D4FBC"/>
    <w:rsid w:val="002D5833"/>
    <w:rsid w:val="002E1959"/>
    <w:rsid w:val="002E327A"/>
    <w:rsid w:val="002F23D5"/>
    <w:rsid w:val="002F7062"/>
    <w:rsid w:val="00303A59"/>
    <w:rsid w:val="003057F2"/>
    <w:rsid w:val="00305D55"/>
    <w:rsid w:val="00306242"/>
    <w:rsid w:val="00313D23"/>
    <w:rsid w:val="0031586F"/>
    <w:rsid w:val="00316205"/>
    <w:rsid w:val="0031796C"/>
    <w:rsid w:val="003206C1"/>
    <w:rsid w:val="00324B0C"/>
    <w:rsid w:val="00325247"/>
    <w:rsid w:val="00327A7A"/>
    <w:rsid w:val="00332586"/>
    <w:rsid w:val="0033418F"/>
    <w:rsid w:val="003372EB"/>
    <w:rsid w:val="0034263D"/>
    <w:rsid w:val="00345262"/>
    <w:rsid w:val="00347156"/>
    <w:rsid w:val="003504BC"/>
    <w:rsid w:val="003547AA"/>
    <w:rsid w:val="003602F8"/>
    <w:rsid w:val="00363058"/>
    <w:rsid w:val="00367071"/>
    <w:rsid w:val="003733B9"/>
    <w:rsid w:val="003735B5"/>
    <w:rsid w:val="00376D40"/>
    <w:rsid w:val="00385E33"/>
    <w:rsid w:val="00391D0B"/>
    <w:rsid w:val="00392150"/>
    <w:rsid w:val="00395F45"/>
    <w:rsid w:val="00396F94"/>
    <w:rsid w:val="003A444E"/>
    <w:rsid w:val="003A4738"/>
    <w:rsid w:val="003A64F7"/>
    <w:rsid w:val="003A6A4A"/>
    <w:rsid w:val="003B0EE9"/>
    <w:rsid w:val="003B15EB"/>
    <w:rsid w:val="003B5089"/>
    <w:rsid w:val="003B7A77"/>
    <w:rsid w:val="003B7B5A"/>
    <w:rsid w:val="003B7DB1"/>
    <w:rsid w:val="003C4E32"/>
    <w:rsid w:val="003C4FA3"/>
    <w:rsid w:val="003C4FA5"/>
    <w:rsid w:val="003C6A0F"/>
    <w:rsid w:val="003D0D47"/>
    <w:rsid w:val="003D2030"/>
    <w:rsid w:val="003D279C"/>
    <w:rsid w:val="003D4D8D"/>
    <w:rsid w:val="003E32AA"/>
    <w:rsid w:val="003E581A"/>
    <w:rsid w:val="003E6897"/>
    <w:rsid w:val="003F1925"/>
    <w:rsid w:val="003F27CA"/>
    <w:rsid w:val="003F45B0"/>
    <w:rsid w:val="00400981"/>
    <w:rsid w:val="0040159F"/>
    <w:rsid w:val="004030FE"/>
    <w:rsid w:val="00404250"/>
    <w:rsid w:val="00404A4E"/>
    <w:rsid w:val="00405252"/>
    <w:rsid w:val="0041697E"/>
    <w:rsid w:val="0041717A"/>
    <w:rsid w:val="00422394"/>
    <w:rsid w:val="00432486"/>
    <w:rsid w:val="00434BB9"/>
    <w:rsid w:val="004361BC"/>
    <w:rsid w:val="00436A08"/>
    <w:rsid w:val="00437F7A"/>
    <w:rsid w:val="00441A2E"/>
    <w:rsid w:val="00444295"/>
    <w:rsid w:val="004443EA"/>
    <w:rsid w:val="0044501E"/>
    <w:rsid w:val="00451AB5"/>
    <w:rsid w:val="00454FDC"/>
    <w:rsid w:val="00465714"/>
    <w:rsid w:val="00470F39"/>
    <w:rsid w:val="00471E56"/>
    <w:rsid w:val="0047203C"/>
    <w:rsid w:val="004804F6"/>
    <w:rsid w:val="004936A7"/>
    <w:rsid w:val="00493FBC"/>
    <w:rsid w:val="00494637"/>
    <w:rsid w:val="004948CB"/>
    <w:rsid w:val="00497EAA"/>
    <w:rsid w:val="004A1410"/>
    <w:rsid w:val="004A2D7B"/>
    <w:rsid w:val="004A72C4"/>
    <w:rsid w:val="004B3344"/>
    <w:rsid w:val="004B4C72"/>
    <w:rsid w:val="004B5E1B"/>
    <w:rsid w:val="004C63EE"/>
    <w:rsid w:val="004C69B8"/>
    <w:rsid w:val="004D04AC"/>
    <w:rsid w:val="004D06B5"/>
    <w:rsid w:val="004D1F4F"/>
    <w:rsid w:val="004D49D4"/>
    <w:rsid w:val="004D79CE"/>
    <w:rsid w:val="004E0AAC"/>
    <w:rsid w:val="004E1DEA"/>
    <w:rsid w:val="004E3292"/>
    <w:rsid w:val="004E4232"/>
    <w:rsid w:val="004E4996"/>
    <w:rsid w:val="004E521B"/>
    <w:rsid w:val="004E782F"/>
    <w:rsid w:val="004F08B2"/>
    <w:rsid w:val="004F20BA"/>
    <w:rsid w:val="004F32C5"/>
    <w:rsid w:val="004F49E4"/>
    <w:rsid w:val="00503131"/>
    <w:rsid w:val="00505650"/>
    <w:rsid w:val="00512E51"/>
    <w:rsid w:val="00514527"/>
    <w:rsid w:val="0051724B"/>
    <w:rsid w:val="00520901"/>
    <w:rsid w:val="00522BD6"/>
    <w:rsid w:val="00523271"/>
    <w:rsid w:val="00526913"/>
    <w:rsid w:val="00531B98"/>
    <w:rsid w:val="005323A0"/>
    <w:rsid w:val="005324D1"/>
    <w:rsid w:val="005335A5"/>
    <w:rsid w:val="00534A14"/>
    <w:rsid w:val="00537F65"/>
    <w:rsid w:val="00540B2F"/>
    <w:rsid w:val="005429C7"/>
    <w:rsid w:val="005444FF"/>
    <w:rsid w:val="00545F40"/>
    <w:rsid w:val="005467D7"/>
    <w:rsid w:val="00555702"/>
    <w:rsid w:val="005575C1"/>
    <w:rsid w:val="00557607"/>
    <w:rsid w:val="005603BC"/>
    <w:rsid w:val="00561856"/>
    <w:rsid w:val="00562ED7"/>
    <w:rsid w:val="00563635"/>
    <w:rsid w:val="005654F0"/>
    <w:rsid w:val="0056731D"/>
    <w:rsid w:val="005702CA"/>
    <w:rsid w:val="00571EEF"/>
    <w:rsid w:val="00573E9D"/>
    <w:rsid w:val="00573FE7"/>
    <w:rsid w:val="00574DFF"/>
    <w:rsid w:val="0057613E"/>
    <w:rsid w:val="0058263B"/>
    <w:rsid w:val="00586884"/>
    <w:rsid w:val="00591BED"/>
    <w:rsid w:val="00591C4F"/>
    <w:rsid w:val="00591DBF"/>
    <w:rsid w:val="00592113"/>
    <w:rsid w:val="005969E9"/>
    <w:rsid w:val="00596AAB"/>
    <w:rsid w:val="005975CA"/>
    <w:rsid w:val="005A3864"/>
    <w:rsid w:val="005A5441"/>
    <w:rsid w:val="005A6160"/>
    <w:rsid w:val="005B44BF"/>
    <w:rsid w:val="005B7100"/>
    <w:rsid w:val="005C011E"/>
    <w:rsid w:val="005C29B1"/>
    <w:rsid w:val="005C2BF1"/>
    <w:rsid w:val="005C37B3"/>
    <w:rsid w:val="005C4DBB"/>
    <w:rsid w:val="005D055A"/>
    <w:rsid w:val="005D1161"/>
    <w:rsid w:val="005D1A81"/>
    <w:rsid w:val="005D453D"/>
    <w:rsid w:val="005D49DF"/>
    <w:rsid w:val="005D52BA"/>
    <w:rsid w:val="005D5560"/>
    <w:rsid w:val="005D6359"/>
    <w:rsid w:val="005E0F6C"/>
    <w:rsid w:val="005E3EA4"/>
    <w:rsid w:val="005E57F2"/>
    <w:rsid w:val="005F1D4A"/>
    <w:rsid w:val="005F2569"/>
    <w:rsid w:val="005F44A9"/>
    <w:rsid w:val="005F4DBB"/>
    <w:rsid w:val="005F5382"/>
    <w:rsid w:val="005F737B"/>
    <w:rsid w:val="00604289"/>
    <w:rsid w:val="00604E81"/>
    <w:rsid w:val="0060680D"/>
    <w:rsid w:val="00606980"/>
    <w:rsid w:val="0060761E"/>
    <w:rsid w:val="00610A0D"/>
    <w:rsid w:val="00611353"/>
    <w:rsid w:val="00612552"/>
    <w:rsid w:val="00612990"/>
    <w:rsid w:val="00613B48"/>
    <w:rsid w:val="006146A4"/>
    <w:rsid w:val="00614CCB"/>
    <w:rsid w:val="00616FF2"/>
    <w:rsid w:val="00617E15"/>
    <w:rsid w:val="00622519"/>
    <w:rsid w:val="006226E6"/>
    <w:rsid w:val="0062354B"/>
    <w:rsid w:val="00623D48"/>
    <w:rsid w:val="00627C6B"/>
    <w:rsid w:val="006309C3"/>
    <w:rsid w:val="00635E27"/>
    <w:rsid w:val="006370B7"/>
    <w:rsid w:val="006403E1"/>
    <w:rsid w:val="00645A3B"/>
    <w:rsid w:val="006461ED"/>
    <w:rsid w:val="006551A4"/>
    <w:rsid w:val="00656B80"/>
    <w:rsid w:val="006614CB"/>
    <w:rsid w:val="006633D6"/>
    <w:rsid w:val="006661F2"/>
    <w:rsid w:val="00667FC8"/>
    <w:rsid w:val="0067332F"/>
    <w:rsid w:val="00673ADE"/>
    <w:rsid w:val="00674671"/>
    <w:rsid w:val="00674696"/>
    <w:rsid w:val="006764F4"/>
    <w:rsid w:val="00677C44"/>
    <w:rsid w:val="00681742"/>
    <w:rsid w:val="00681E59"/>
    <w:rsid w:val="006917B7"/>
    <w:rsid w:val="00692B89"/>
    <w:rsid w:val="006A0E51"/>
    <w:rsid w:val="006A3ED6"/>
    <w:rsid w:val="006A4F98"/>
    <w:rsid w:val="006A5BAF"/>
    <w:rsid w:val="006A65B5"/>
    <w:rsid w:val="006A69CB"/>
    <w:rsid w:val="006B1922"/>
    <w:rsid w:val="006B32DA"/>
    <w:rsid w:val="006B35CE"/>
    <w:rsid w:val="006B508B"/>
    <w:rsid w:val="006B6AF0"/>
    <w:rsid w:val="006C0D7C"/>
    <w:rsid w:val="006C14AA"/>
    <w:rsid w:val="006C5FF3"/>
    <w:rsid w:val="006D273E"/>
    <w:rsid w:val="006D40F9"/>
    <w:rsid w:val="006E1746"/>
    <w:rsid w:val="006E394F"/>
    <w:rsid w:val="006E7845"/>
    <w:rsid w:val="006F04FE"/>
    <w:rsid w:val="006F0C30"/>
    <w:rsid w:val="006F5489"/>
    <w:rsid w:val="006F5C52"/>
    <w:rsid w:val="006F71FA"/>
    <w:rsid w:val="006F7B8C"/>
    <w:rsid w:val="00701160"/>
    <w:rsid w:val="0070179E"/>
    <w:rsid w:val="007075E0"/>
    <w:rsid w:val="007126B3"/>
    <w:rsid w:val="007135D3"/>
    <w:rsid w:val="0071416A"/>
    <w:rsid w:val="00716EB3"/>
    <w:rsid w:val="007236FB"/>
    <w:rsid w:val="00725747"/>
    <w:rsid w:val="007270B5"/>
    <w:rsid w:val="00733082"/>
    <w:rsid w:val="00734043"/>
    <w:rsid w:val="00734C29"/>
    <w:rsid w:val="007412A7"/>
    <w:rsid w:val="00742235"/>
    <w:rsid w:val="007456F8"/>
    <w:rsid w:val="00746E66"/>
    <w:rsid w:val="00756706"/>
    <w:rsid w:val="00757BA4"/>
    <w:rsid w:val="00757DCA"/>
    <w:rsid w:val="00763A23"/>
    <w:rsid w:val="0077066B"/>
    <w:rsid w:val="007706BB"/>
    <w:rsid w:val="00770FBF"/>
    <w:rsid w:val="00771A4C"/>
    <w:rsid w:val="00776572"/>
    <w:rsid w:val="00780662"/>
    <w:rsid w:val="00780EF5"/>
    <w:rsid w:val="00783FB7"/>
    <w:rsid w:val="007842AF"/>
    <w:rsid w:val="00785F33"/>
    <w:rsid w:val="00793AE3"/>
    <w:rsid w:val="007940FD"/>
    <w:rsid w:val="007A2904"/>
    <w:rsid w:val="007A2DC5"/>
    <w:rsid w:val="007A3245"/>
    <w:rsid w:val="007A3A85"/>
    <w:rsid w:val="007A502C"/>
    <w:rsid w:val="007A5714"/>
    <w:rsid w:val="007A5BA8"/>
    <w:rsid w:val="007A6BDD"/>
    <w:rsid w:val="007B008A"/>
    <w:rsid w:val="007B09AE"/>
    <w:rsid w:val="007B6659"/>
    <w:rsid w:val="007C06A5"/>
    <w:rsid w:val="007C4E5C"/>
    <w:rsid w:val="007C7A3F"/>
    <w:rsid w:val="007D31DB"/>
    <w:rsid w:val="007D6457"/>
    <w:rsid w:val="007D70E2"/>
    <w:rsid w:val="007E67CD"/>
    <w:rsid w:val="007F2C41"/>
    <w:rsid w:val="007F5C67"/>
    <w:rsid w:val="00801E89"/>
    <w:rsid w:val="00802101"/>
    <w:rsid w:val="008023AC"/>
    <w:rsid w:val="008078BD"/>
    <w:rsid w:val="00811BC3"/>
    <w:rsid w:val="00825927"/>
    <w:rsid w:val="00826956"/>
    <w:rsid w:val="00835BD1"/>
    <w:rsid w:val="00840095"/>
    <w:rsid w:val="00841244"/>
    <w:rsid w:val="00847CE1"/>
    <w:rsid w:val="00851A6D"/>
    <w:rsid w:val="0085205D"/>
    <w:rsid w:val="00853618"/>
    <w:rsid w:val="00854804"/>
    <w:rsid w:val="00854B93"/>
    <w:rsid w:val="00855BFA"/>
    <w:rsid w:val="00855CCC"/>
    <w:rsid w:val="00860B6F"/>
    <w:rsid w:val="008627B7"/>
    <w:rsid w:val="008627E0"/>
    <w:rsid w:val="0086285A"/>
    <w:rsid w:val="008635A6"/>
    <w:rsid w:val="008651CB"/>
    <w:rsid w:val="00865538"/>
    <w:rsid w:val="00866C17"/>
    <w:rsid w:val="00872603"/>
    <w:rsid w:val="00873444"/>
    <w:rsid w:val="00874A04"/>
    <w:rsid w:val="00882479"/>
    <w:rsid w:val="00882730"/>
    <w:rsid w:val="008862A3"/>
    <w:rsid w:val="00886851"/>
    <w:rsid w:val="00891A43"/>
    <w:rsid w:val="00891A47"/>
    <w:rsid w:val="00892766"/>
    <w:rsid w:val="008933BC"/>
    <w:rsid w:val="0089683D"/>
    <w:rsid w:val="008A48DF"/>
    <w:rsid w:val="008A4DDF"/>
    <w:rsid w:val="008B0CC7"/>
    <w:rsid w:val="008B1999"/>
    <w:rsid w:val="008B7EE6"/>
    <w:rsid w:val="008C0A5A"/>
    <w:rsid w:val="008C126F"/>
    <w:rsid w:val="008C436E"/>
    <w:rsid w:val="008C4660"/>
    <w:rsid w:val="008C6FF2"/>
    <w:rsid w:val="008D5990"/>
    <w:rsid w:val="008D6500"/>
    <w:rsid w:val="008D7F24"/>
    <w:rsid w:val="008E07E2"/>
    <w:rsid w:val="008E6248"/>
    <w:rsid w:val="008E7845"/>
    <w:rsid w:val="008F015E"/>
    <w:rsid w:val="008F2371"/>
    <w:rsid w:val="008F4FBB"/>
    <w:rsid w:val="008F635C"/>
    <w:rsid w:val="008F696F"/>
    <w:rsid w:val="008F72A7"/>
    <w:rsid w:val="009004E9"/>
    <w:rsid w:val="00901BE2"/>
    <w:rsid w:val="00904CFE"/>
    <w:rsid w:val="00907A77"/>
    <w:rsid w:val="00910335"/>
    <w:rsid w:val="00911004"/>
    <w:rsid w:val="009134EA"/>
    <w:rsid w:val="00913842"/>
    <w:rsid w:val="00914134"/>
    <w:rsid w:val="00915760"/>
    <w:rsid w:val="00917690"/>
    <w:rsid w:val="00917D0B"/>
    <w:rsid w:val="0092066F"/>
    <w:rsid w:val="0092227C"/>
    <w:rsid w:val="009233EC"/>
    <w:rsid w:val="00923468"/>
    <w:rsid w:val="009260CA"/>
    <w:rsid w:val="00932FB2"/>
    <w:rsid w:val="0093356A"/>
    <w:rsid w:val="009347BC"/>
    <w:rsid w:val="00934C0A"/>
    <w:rsid w:val="009372E5"/>
    <w:rsid w:val="00937EDD"/>
    <w:rsid w:val="00941AD5"/>
    <w:rsid w:val="00943468"/>
    <w:rsid w:val="00943F91"/>
    <w:rsid w:val="009443D5"/>
    <w:rsid w:val="009508E3"/>
    <w:rsid w:val="009510C3"/>
    <w:rsid w:val="0095302F"/>
    <w:rsid w:val="00955CEE"/>
    <w:rsid w:val="009642EC"/>
    <w:rsid w:val="009665C9"/>
    <w:rsid w:val="0096665E"/>
    <w:rsid w:val="00973161"/>
    <w:rsid w:val="00973BEC"/>
    <w:rsid w:val="00975146"/>
    <w:rsid w:val="009752AC"/>
    <w:rsid w:val="009753D4"/>
    <w:rsid w:val="00984D28"/>
    <w:rsid w:val="00986C1C"/>
    <w:rsid w:val="00986CBF"/>
    <w:rsid w:val="00990623"/>
    <w:rsid w:val="00990982"/>
    <w:rsid w:val="00991B5E"/>
    <w:rsid w:val="00997420"/>
    <w:rsid w:val="00997689"/>
    <w:rsid w:val="009A15E8"/>
    <w:rsid w:val="009A7C58"/>
    <w:rsid w:val="009B2232"/>
    <w:rsid w:val="009B5355"/>
    <w:rsid w:val="009C1D22"/>
    <w:rsid w:val="009C2D33"/>
    <w:rsid w:val="009C393E"/>
    <w:rsid w:val="009C6A95"/>
    <w:rsid w:val="009D0BAD"/>
    <w:rsid w:val="009D1AB3"/>
    <w:rsid w:val="009E0CB9"/>
    <w:rsid w:val="009E15E4"/>
    <w:rsid w:val="009E18FC"/>
    <w:rsid w:val="009E2E70"/>
    <w:rsid w:val="009E3D80"/>
    <w:rsid w:val="009E5C4E"/>
    <w:rsid w:val="009E63FC"/>
    <w:rsid w:val="009E65E6"/>
    <w:rsid w:val="009F1E3F"/>
    <w:rsid w:val="009F27B6"/>
    <w:rsid w:val="009F28A7"/>
    <w:rsid w:val="009F42DA"/>
    <w:rsid w:val="009F4DD0"/>
    <w:rsid w:val="009F5353"/>
    <w:rsid w:val="00A032A9"/>
    <w:rsid w:val="00A07926"/>
    <w:rsid w:val="00A115A0"/>
    <w:rsid w:val="00A11D6F"/>
    <w:rsid w:val="00A12C39"/>
    <w:rsid w:val="00A13FD7"/>
    <w:rsid w:val="00A14F92"/>
    <w:rsid w:val="00A1663F"/>
    <w:rsid w:val="00A20A81"/>
    <w:rsid w:val="00A20B62"/>
    <w:rsid w:val="00A25C95"/>
    <w:rsid w:val="00A25E28"/>
    <w:rsid w:val="00A27B3D"/>
    <w:rsid w:val="00A377B7"/>
    <w:rsid w:val="00A444EB"/>
    <w:rsid w:val="00A46FB7"/>
    <w:rsid w:val="00A5322E"/>
    <w:rsid w:val="00A54CA1"/>
    <w:rsid w:val="00A56962"/>
    <w:rsid w:val="00A6204D"/>
    <w:rsid w:val="00A6363C"/>
    <w:rsid w:val="00A63734"/>
    <w:rsid w:val="00A64E40"/>
    <w:rsid w:val="00A67BC6"/>
    <w:rsid w:val="00A67D4D"/>
    <w:rsid w:val="00A709FB"/>
    <w:rsid w:val="00A72B8F"/>
    <w:rsid w:val="00A72F94"/>
    <w:rsid w:val="00A73E28"/>
    <w:rsid w:val="00A751DE"/>
    <w:rsid w:val="00A771E2"/>
    <w:rsid w:val="00A771F5"/>
    <w:rsid w:val="00A80036"/>
    <w:rsid w:val="00A806E8"/>
    <w:rsid w:val="00A9163A"/>
    <w:rsid w:val="00A962EE"/>
    <w:rsid w:val="00AA4441"/>
    <w:rsid w:val="00AA6835"/>
    <w:rsid w:val="00AA7FCF"/>
    <w:rsid w:val="00AB18BE"/>
    <w:rsid w:val="00AB7305"/>
    <w:rsid w:val="00AB75DF"/>
    <w:rsid w:val="00AB7C33"/>
    <w:rsid w:val="00AC5F93"/>
    <w:rsid w:val="00AD2691"/>
    <w:rsid w:val="00AD2C2F"/>
    <w:rsid w:val="00AD591C"/>
    <w:rsid w:val="00AD5AC3"/>
    <w:rsid w:val="00AD64CB"/>
    <w:rsid w:val="00AD6B38"/>
    <w:rsid w:val="00AD7E1E"/>
    <w:rsid w:val="00AF0924"/>
    <w:rsid w:val="00B12308"/>
    <w:rsid w:val="00B146EC"/>
    <w:rsid w:val="00B2170F"/>
    <w:rsid w:val="00B24329"/>
    <w:rsid w:val="00B369F1"/>
    <w:rsid w:val="00B40EC3"/>
    <w:rsid w:val="00B510A9"/>
    <w:rsid w:val="00B518B4"/>
    <w:rsid w:val="00B5443D"/>
    <w:rsid w:val="00B552AB"/>
    <w:rsid w:val="00B55D95"/>
    <w:rsid w:val="00B56256"/>
    <w:rsid w:val="00B56675"/>
    <w:rsid w:val="00B6594C"/>
    <w:rsid w:val="00B67E3C"/>
    <w:rsid w:val="00B70AF6"/>
    <w:rsid w:val="00B72DEC"/>
    <w:rsid w:val="00B74E8B"/>
    <w:rsid w:val="00B7594F"/>
    <w:rsid w:val="00B81481"/>
    <w:rsid w:val="00B81E81"/>
    <w:rsid w:val="00B82577"/>
    <w:rsid w:val="00B86348"/>
    <w:rsid w:val="00B86ECF"/>
    <w:rsid w:val="00B87E30"/>
    <w:rsid w:val="00B901BF"/>
    <w:rsid w:val="00B92B57"/>
    <w:rsid w:val="00B93082"/>
    <w:rsid w:val="00B930E6"/>
    <w:rsid w:val="00B96DF8"/>
    <w:rsid w:val="00B979F3"/>
    <w:rsid w:val="00BA1E7B"/>
    <w:rsid w:val="00BB1DC3"/>
    <w:rsid w:val="00BC2F47"/>
    <w:rsid w:val="00BC4382"/>
    <w:rsid w:val="00BD16C6"/>
    <w:rsid w:val="00BD319F"/>
    <w:rsid w:val="00BD3B0C"/>
    <w:rsid w:val="00BD5BC8"/>
    <w:rsid w:val="00BD5D3A"/>
    <w:rsid w:val="00BE0777"/>
    <w:rsid w:val="00BE2802"/>
    <w:rsid w:val="00BE3616"/>
    <w:rsid w:val="00BE5400"/>
    <w:rsid w:val="00BE6119"/>
    <w:rsid w:val="00BF1503"/>
    <w:rsid w:val="00BF3269"/>
    <w:rsid w:val="00BF5FB7"/>
    <w:rsid w:val="00C03E6D"/>
    <w:rsid w:val="00C12328"/>
    <w:rsid w:val="00C24877"/>
    <w:rsid w:val="00C30556"/>
    <w:rsid w:val="00C36C0A"/>
    <w:rsid w:val="00C41FA6"/>
    <w:rsid w:val="00C42ED9"/>
    <w:rsid w:val="00C43B2D"/>
    <w:rsid w:val="00C46F06"/>
    <w:rsid w:val="00C47B48"/>
    <w:rsid w:val="00C51A66"/>
    <w:rsid w:val="00C5201F"/>
    <w:rsid w:val="00C52A91"/>
    <w:rsid w:val="00C53021"/>
    <w:rsid w:val="00C55358"/>
    <w:rsid w:val="00C5673D"/>
    <w:rsid w:val="00C60145"/>
    <w:rsid w:val="00C627F5"/>
    <w:rsid w:val="00C62DC1"/>
    <w:rsid w:val="00C64D13"/>
    <w:rsid w:val="00C6646C"/>
    <w:rsid w:val="00C67862"/>
    <w:rsid w:val="00C76CAF"/>
    <w:rsid w:val="00C8014F"/>
    <w:rsid w:val="00C80F43"/>
    <w:rsid w:val="00C82CCE"/>
    <w:rsid w:val="00C85822"/>
    <w:rsid w:val="00C91EAE"/>
    <w:rsid w:val="00C9281E"/>
    <w:rsid w:val="00C93E50"/>
    <w:rsid w:val="00C93FB8"/>
    <w:rsid w:val="00C97F86"/>
    <w:rsid w:val="00CA4214"/>
    <w:rsid w:val="00CA5777"/>
    <w:rsid w:val="00CA6827"/>
    <w:rsid w:val="00CA6D39"/>
    <w:rsid w:val="00CB2309"/>
    <w:rsid w:val="00CC0821"/>
    <w:rsid w:val="00CC194A"/>
    <w:rsid w:val="00CC2DF5"/>
    <w:rsid w:val="00CC3DF5"/>
    <w:rsid w:val="00CC43B0"/>
    <w:rsid w:val="00CC583C"/>
    <w:rsid w:val="00CC6717"/>
    <w:rsid w:val="00CC7FC5"/>
    <w:rsid w:val="00CD1D51"/>
    <w:rsid w:val="00CD74B6"/>
    <w:rsid w:val="00CD7DFD"/>
    <w:rsid w:val="00CE33E4"/>
    <w:rsid w:val="00CE386D"/>
    <w:rsid w:val="00CE5383"/>
    <w:rsid w:val="00CE7277"/>
    <w:rsid w:val="00CF47C2"/>
    <w:rsid w:val="00CF5376"/>
    <w:rsid w:val="00CF56DE"/>
    <w:rsid w:val="00CF6587"/>
    <w:rsid w:val="00CF6778"/>
    <w:rsid w:val="00D00D66"/>
    <w:rsid w:val="00D10326"/>
    <w:rsid w:val="00D10EF9"/>
    <w:rsid w:val="00D11030"/>
    <w:rsid w:val="00D1176E"/>
    <w:rsid w:val="00D12166"/>
    <w:rsid w:val="00D15DF7"/>
    <w:rsid w:val="00D16169"/>
    <w:rsid w:val="00D2042C"/>
    <w:rsid w:val="00D20782"/>
    <w:rsid w:val="00D21DB9"/>
    <w:rsid w:val="00D248F7"/>
    <w:rsid w:val="00D26C50"/>
    <w:rsid w:val="00D26DD2"/>
    <w:rsid w:val="00D26F77"/>
    <w:rsid w:val="00D27229"/>
    <w:rsid w:val="00D328B3"/>
    <w:rsid w:val="00D33CDC"/>
    <w:rsid w:val="00D3465B"/>
    <w:rsid w:val="00D356AC"/>
    <w:rsid w:val="00D41449"/>
    <w:rsid w:val="00D42C8A"/>
    <w:rsid w:val="00D43999"/>
    <w:rsid w:val="00D44E90"/>
    <w:rsid w:val="00D45153"/>
    <w:rsid w:val="00D50B5B"/>
    <w:rsid w:val="00D522DC"/>
    <w:rsid w:val="00D53FCD"/>
    <w:rsid w:val="00D570C6"/>
    <w:rsid w:val="00D627DE"/>
    <w:rsid w:val="00D641C4"/>
    <w:rsid w:val="00D675D6"/>
    <w:rsid w:val="00D67F83"/>
    <w:rsid w:val="00D70227"/>
    <w:rsid w:val="00D70E71"/>
    <w:rsid w:val="00D7444F"/>
    <w:rsid w:val="00D76A8E"/>
    <w:rsid w:val="00D845F6"/>
    <w:rsid w:val="00D8588F"/>
    <w:rsid w:val="00D93B3C"/>
    <w:rsid w:val="00DA7AB1"/>
    <w:rsid w:val="00DB16AF"/>
    <w:rsid w:val="00DB2DA6"/>
    <w:rsid w:val="00DC08EF"/>
    <w:rsid w:val="00DC4662"/>
    <w:rsid w:val="00DD33F2"/>
    <w:rsid w:val="00DD65FF"/>
    <w:rsid w:val="00DE45C8"/>
    <w:rsid w:val="00DE62AD"/>
    <w:rsid w:val="00DF30C0"/>
    <w:rsid w:val="00DF3A58"/>
    <w:rsid w:val="00DF3AFB"/>
    <w:rsid w:val="00DF6855"/>
    <w:rsid w:val="00E045CC"/>
    <w:rsid w:val="00E05C16"/>
    <w:rsid w:val="00E07AFE"/>
    <w:rsid w:val="00E103C7"/>
    <w:rsid w:val="00E10754"/>
    <w:rsid w:val="00E114F7"/>
    <w:rsid w:val="00E11DA9"/>
    <w:rsid w:val="00E147D7"/>
    <w:rsid w:val="00E14D0E"/>
    <w:rsid w:val="00E15FBA"/>
    <w:rsid w:val="00E16369"/>
    <w:rsid w:val="00E174EC"/>
    <w:rsid w:val="00E176F4"/>
    <w:rsid w:val="00E21520"/>
    <w:rsid w:val="00E251B5"/>
    <w:rsid w:val="00E25313"/>
    <w:rsid w:val="00E324AD"/>
    <w:rsid w:val="00E32A08"/>
    <w:rsid w:val="00E3408D"/>
    <w:rsid w:val="00E35087"/>
    <w:rsid w:val="00E35BAA"/>
    <w:rsid w:val="00E4026D"/>
    <w:rsid w:val="00E4114D"/>
    <w:rsid w:val="00E42B5D"/>
    <w:rsid w:val="00E46D6D"/>
    <w:rsid w:val="00E4754F"/>
    <w:rsid w:val="00E50227"/>
    <w:rsid w:val="00E50F4B"/>
    <w:rsid w:val="00E5414F"/>
    <w:rsid w:val="00E54940"/>
    <w:rsid w:val="00E54CBD"/>
    <w:rsid w:val="00E551F9"/>
    <w:rsid w:val="00E55BF3"/>
    <w:rsid w:val="00E65BF9"/>
    <w:rsid w:val="00E73298"/>
    <w:rsid w:val="00E80B1E"/>
    <w:rsid w:val="00E80C04"/>
    <w:rsid w:val="00E80E84"/>
    <w:rsid w:val="00E811F8"/>
    <w:rsid w:val="00E81B7C"/>
    <w:rsid w:val="00E828FF"/>
    <w:rsid w:val="00E92CA1"/>
    <w:rsid w:val="00EA2AF6"/>
    <w:rsid w:val="00EA565A"/>
    <w:rsid w:val="00EA7964"/>
    <w:rsid w:val="00EB40BC"/>
    <w:rsid w:val="00EB4D8E"/>
    <w:rsid w:val="00EB4F43"/>
    <w:rsid w:val="00EC2FF1"/>
    <w:rsid w:val="00EC519B"/>
    <w:rsid w:val="00ED133C"/>
    <w:rsid w:val="00ED49CD"/>
    <w:rsid w:val="00ED4C60"/>
    <w:rsid w:val="00EE2009"/>
    <w:rsid w:val="00EE22B1"/>
    <w:rsid w:val="00EE7787"/>
    <w:rsid w:val="00EE7ADC"/>
    <w:rsid w:val="00EE7F6A"/>
    <w:rsid w:val="00EF28A6"/>
    <w:rsid w:val="00EF6133"/>
    <w:rsid w:val="00F00917"/>
    <w:rsid w:val="00F1265B"/>
    <w:rsid w:val="00F127EA"/>
    <w:rsid w:val="00F1312C"/>
    <w:rsid w:val="00F13EDF"/>
    <w:rsid w:val="00F151A3"/>
    <w:rsid w:val="00F15D9F"/>
    <w:rsid w:val="00F22C8C"/>
    <w:rsid w:val="00F269B5"/>
    <w:rsid w:val="00F327B3"/>
    <w:rsid w:val="00F328D0"/>
    <w:rsid w:val="00F34DA0"/>
    <w:rsid w:val="00F41E5A"/>
    <w:rsid w:val="00F44C53"/>
    <w:rsid w:val="00F563EF"/>
    <w:rsid w:val="00F564B0"/>
    <w:rsid w:val="00F57363"/>
    <w:rsid w:val="00F66F4A"/>
    <w:rsid w:val="00F6730E"/>
    <w:rsid w:val="00F703CE"/>
    <w:rsid w:val="00F751F3"/>
    <w:rsid w:val="00F7735F"/>
    <w:rsid w:val="00F80258"/>
    <w:rsid w:val="00F8163E"/>
    <w:rsid w:val="00F828CF"/>
    <w:rsid w:val="00F834F4"/>
    <w:rsid w:val="00F86DEA"/>
    <w:rsid w:val="00F914D6"/>
    <w:rsid w:val="00F94B32"/>
    <w:rsid w:val="00F970FC"/>
    <w:rsid w:val="00F97672"/>
    <w:rsid w:val="00FA2430"/>
    <w:rsid w:val="00FA3C71"/>
    <w:rsid w:val="00FA4D11"/>
    <w:rsid w:val="00FA6A79"/>
    <w:rsid w:val="00FA7577"/>
    <w:rsid w:val="00FA7A32"/>
    <w:rsid w:val="00FB05C5"/>
    <w:rsid w:val="00FB1CE4"/>
    <w:rsid w:val="00FB475C"/>
    <w:rsid w:val="00FB5A9D"/>
    <w:rsid w:val="00FC1DF8"/>
    <w:rsid w:val="00FC42CA"/>
    <w:rsid w:val="00FC49F9"/>
    <w:rsid w:val="00FD077D"/>
    <w:rsid w:val="00FD39C2"/>
    <w:rsid w:val="00FD416F"/>
    <w:rsid w:val="00FD64F4"/>
    <w:rsid w:val="00FD70BC"/>
    <w:rsid w:val="00FD734A"/>
    <w:rsid w:val="00FE29FF"/>
    <w:rsid w:val="00FE44A3"/>
    <w:rsid w:val="00FE4D35"/>
    <w:rsid w:val="00FE6875"/>
    <w:rsid w:val="00FF0331"/>
    <w:rsid w:val="00FF1225"/>
    <w:rsid w:val="00FF4788"/>
    <w:rsid w:val="00FF6007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9D7B27-0036-4CD7-A70A-E79F644B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B1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7E15"/>
    <w:rPr>
      <w:rFonts w:ascii="Tahoma" w:hAnsi="Tahoma" w:cs="Tahoma"/>
      <w:sz w:val="16"/>
      <w:szCs w:val="16"/>
    </w:rPr>
  </w:style>
  <w:style w:type="paragraph" w:customStyle="1" w:styleId="GroupWiseView">
    <w:name w:val="GroupWiseView"/>
    <w:rsid w:val="00801E89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rsid w:val="009B223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B2232"/>
    <w:rPr>
      <w:b/>
      <w:bCs/>
    </w:rPr>
  </w:style>
  <w:style w:type="character" w:styleId="Hyperlink">
    <w:name w:val="Hyperlink"/>
    <w:basedOn w:val="DefaultParagraphFont"/>
    <w:rsid w:val="006146A4"/>
    <w:rPr>
      <w:color w:val="0000FF"/>
      <w:u w:val="single"/>
    </w:rPr>
  </w:style>
  <w:style w:type="character" w:styleId="FollowedHyperlink">
    <w:name w:val="FollowedHyperlink"/>
    <w:basedOn w:val="DefaultParagraphFont"/>
    <w:rsid w:val="0025587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F6007"/>
    <w:pPr>
      <w:ind w:left="720"/>
    </w:pPr>
  </w:style>
  <w:style w:type="character" w:customStyle="1" w:styleId="cosearchterm">
    <w:name w:val="co_searchterm"/>
    <w:basedOn w:val="DefaultParagraphFont"/>
    <w:rsid w:val="009E5C4E"/>
  </w:style>
  <w:style w:type="paragraph" w:customStyle="1" w:styleId="TC3">
    <w:name w:val="TC 3"/>
    <w:basedOn w:val="Normal"/>
    <w:autoRedefine/>
    <w:rsid w:val="005F44A9"/>
    <w:pPr>
      <w:widowControl w:val="0"/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</w:tabs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1155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752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3751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7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71259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94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2734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654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131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F29E-CB3B-44B9-87C4-3A45D0A7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757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Court Rules - First Reading by Board of Judges - XXX, 2011</vt:lpstr>
    </vt:vector>
  </TitlesOfParts>
  <Company>Thurston County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Court Rules - First Reading by Board of Judges - XXX, 2011</dc:title>
  <dc:subject/>
  <dc:creator>zinnr</dc:creator>
  <cp:keywords/>
  <dc:description/>
  <cp:lastModifiedBy>Rebekah Zinn</cp:lastModifiedBy>
  <cp:revision>3</cp:revision>
  <cp:lastPrinted>2018-06-05T00:10:00Z</cp:lastPrinted>
  <dcterms:created xsi:type="dcterms:W3CDTF">2018-06-04T22:37:00Z</dcterms:created>
  <dcterms:modified xsi:type="dcterms:W3CDTF">2018-06-05T00:21:00Z</dcterms:modified>
</cp:coreProperties>
</file>